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8F4" w:rsidRPr="000D0C98" w:rsidRDefault="009248F4" w:rsidP="002E447F">
      <w:pPr>
        <w:spacing w:after="0"/>
        <w:jc w:val="center"/>
        <w:rPr>
          <w:rFonts w:asciiTheme="minorHAnsi" w:hAnsiTheme="minorHAnsi" w:cstheme="minorHAnsi"/>
          <w:b/>
          <w:bCs/>
          <w:caps/>
          <w:kern w:val="32"/>
          <w:sz w:val="28"/>
          <w:szCs w:val="28"/>
          <w:lang w:val="sr-Latn-CS"/>
        </w:rPr>
      </w:pPr>
      <w:r w:rsidRPr="000D0C98">
        <w:rPr>
          <w:rFonts w:asciiTheme="minorHAnsi" w:hAnsiTheme="minorHAnsi" w:cstheme="minorHAnsi"/>
          <w:noProof/>
        </w:rPr>
        <w:drawing>
          <wp:inline distT="0" distB="0" distL="0" distR="0">
            <wp:extent cx="2400300" cy="17811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9248F4" w:rsidRPr="000D0C98" w:rsidRDefault="009248F4" w:rsidP="002E447F">
      <w:pPr>
        <w:spacing w:after="0"/>
        <w:rPr>
          <w:rFonts w:asciiTheme="minorHAnsi" w:hAnsiTheme="minorHAnsi" w:cstheme="minorHAnsi"/>
          <w:b/>
          <w:bCs/>
          <w:caps/>
          <w:kern w:val="32"/>
          <w:sz w:val="28"/>
          <w:szCs w:val="28"/>
          <w:lang w:val="sr-Latn-CS"/>
        </w:rPr>
      </w:pPr>
    </w:p>
    <w:p w:rsidR="009248F4" w:rsidRPr="000D0C98" w:rsidRDefault="009248F4" w:rsidP="002E447F">
      <w:pPr>
        <w:spacing w:after="0"/>
        <w:rPr>
          <w:rFonts w:asciiTheme="minorHAnsi" w:hAnsiTheme="minorHAnsi" w:cstheme="minorHAnsi"/>
          <w:b/>
          <w:bCs/>
          <w:caps/>
          <w:kern w:val="32"/>
          <w:sz w:val="28"/>
          <w:szCs w:val="28"/>
          <w:lang w:val="sr-Latn-CS"/>
        </w:rPr>
      </w:pPr>
    </w:p>
    <w:p w:rsidR="009248F4" w:rsidRPr="000D0C98" w:rsidRDefault="009248F4" w:rsidP="002E447F">
      <w:pPr>
        <w:spacing w:after="0"/>
        <w:rPr>
          <w:rFonts w:asciiTheme="minorHAnsi" w:hAnsiTheme="minorHAnsi" w:cstheme="minorHAnsi"/>
          <w:b/>
          <w:bCs/>
          <w:caps/>
          <w:kern w:val="32"/>
          <w:sz w:val="28"/>
          <w:szCs w:val="28"/>
          <w:lang w:val="sr-Latn-CS"/>
        </w:rPr>
      </w:pPr>
    </w:p>
    <w:p w:rsidR="009248F4" w:rsidRPr="000D0C98" w:rsidRDefault="009248F4" w:rsidP="002E447F">
      <w:pPr>
        <w:spacing w:after="0"/>
        <w:rPr>
          <w:rFonts w:asciiTheme="minorHAnsi" w:hAnsiTheme="minorHAnsi" w:cstheme="minorHAnsi"/>
          <w:b/>
          <w:bCs/>
          <w:caps/>
          <w:kern w:val="32"/>
          <w:szCs w:val="24"/>
          <w:lang w:val="sr-Latn-CS"/>
        </w:rPr>
      </w:pPr>
    </w:p>
    <w:p w:rsidR="009248F4" w:rsidRPr="002A0BEE" w:rsidRDefault="009248F4" w:rsidP="002E447F">
      <w:pPr>
        <w:pStyle w:val="Title"/>
        <w:spacing w:after="0" w:line="276" w:lineRule="auto"/>
        <w:jc w:val="center"/>
        <w:rPr>
          <w:rFonts w:cstheme="minorHAnsi"/>
          <w:b/>
          <w:color w:val="auto"/>
          <w:kern w:val="32"/>
          <w:sz w:val="24"/>
          <w:szCs w:val="24"/>
          <w:lang w:val="sr-Latn-CS"/>
        </w:rPr>
      </w:pPr>
      <w:r w:rsidRPr="002A0BEE">
        <w:rPr>
          <w:rFonts w:cstheme="minorHAnsi"/>
          <w:b/>
          <w:color w:val="auto"/>
          <w:kern w:val="32"/>
          <w:sz w:val="24"/>
          <w:szCs w:val="24"/>
          <w:lang w:val="sr-Latn-CS"/>
        </w:rPr>
        <w:t>K O N C E S I O N I   A K T</w:t>
      </w:r>
    </w:p>
    <w:p w:rsidR="009248F4" w:rsidRPr="002A0BEE" w:rsidRDefault="00793424" w:rsidP="002E447F">
      <w:pPr>
        <w:pStyle w:val="Title"/>
        <w:spacing w:after="0" w:line="276" w:lineRule="auto"/>
        <w:jc w:val="center"/>
        <w:rPr>
          <w:rFonts w:cstheme="minorHAnsi"/>
          <w:b/>
          <w:color w:val="auto"/>
          <w:kern w:val="32"/>
          <w:sz w:val="24"/>
          <w:szCs w:val="24"/>
          <w:lang w:val="sr-Latn-CS"/>
        </w:rPr>
      </w:pPr>
      <w:r w:rsidRPr="002A0BEE">
        <w:rPr>
          <w:rFonts w:cstheme="minorHAnsi"/>
          <w:b/>
          <w:color w:val="auto"/>
          <w:kern w:val="32"/>
          <w:sz w:val="24"/>
          <w:szCs w:val="24"/>
          <w:lang w:val="sr-Latn-CS"/>
        </w:rPr>
        <w:t>o mineralnim sirovinama</w:t>
      </w:r>
      <w:r w:rsidR="009248F4" w:rsidRPr="002A0BEE">
        <w:rPr>
          <w:rFonts w:cstheme="minorHAnsi"/>
          <w:b/>
          <w:color w:val="auto"/>
          <w:kern w:val="32"/>
          <w:sz w:val="24"/>
          <w:szCs w:val="24"/>
          <w:lang w:val="sr-Latn-CS"/>
        </w:rPr>
        <w:t xml:space="preserve"> arhitektonsko-građevinskog (ukrasnog) kamena </w:t>
      </w:r>
      <w:r w:rsidR="007243B0" w:rsidRPr="002A0BEE">
        <w:rPr>
          <w:rFonts w:cstheme="minorHAnsi"/>
          <w:b/>
          <w:color w:val="auto"/>
          <w:kern w:val="32"/>
          <w:sz w:val="24"/>
          <w:szCs w:val="24"/>
          <w:lang w:val="sr-Latn-CS"/>
        </w:rPr>
        <w:t>i tehničko-građevinskog kamena ležišta “Visočica”, opština Danilovgrad</w:t>
      </w:r>
    </w:p>
    <w:p w:rsidR="009248F4" w:rsidRPr="002A0BEE" w:rsidRDefault="009248F4" w:rsidP="002E447F">
      <w:pPr>
        <w:spacing w:after="0"/>
        <w:rPr>
          <w:rFonts w:asciiTheme="majorHAnsi" w:hAnsiTheme="majorHAnsi" w:cstheme="minorHAnsi"/>
          <w:szCs w:val="24"/>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7243B0" w:rsidRPr="002A0BEE" w:rsidRDefault="007243B0" w:rsidP="002E447F">
      <w:pPr>
        <w:pStyle w:val="Default"/>
        <w:spacing w:line="276" w:lineRule="auto"/>
        <w:rPr>
          <w:rFonts w:asciiTheme="majorHAnsi" w:hAnsiTheme="majorHAnsi" w:cstheme="minorHAnsi"/>
          <w:lang w:val="sr-Latn-CS"/>
        </w:rPr>
      </w:pPr>
    </w:p>
    <w:p w:rsidR="007243B0" w:rsidRPr="002A0BEE" w:rsidRDefault="007243B0" w:rsidP="002E447F">
      <w:pPr>
        <w:pStyle w:val="Default"/>
        <w:spacing w:line="276" w:lineRule="auto"/>
        <w:rPr>
          <w:rFonts w:asciiTheme="majorHAnsi" w:hAnsiTheme="majorHAnsi" w:cstheme="minorHAnsi"/>
          <w:lang w:val="sr-Latn-CS"/>
        </w:rPr>
      </w:pPr>
    </w:p>
    <w:p w:rsidR="007243B0" w:rsidRPr="002A0BEE" w:rsidRDefault="007243B0" w:rsidP="002E447F">
      <w:pPr>
        <w:pStyle w:val="Default"/>
        <w:spacing w:line="276" w:lineRule="auto"/>
        <w:rPr>
          <w:rFonts w:asciiTheme="majorHAnsi" w:hAnsiTheme="majorHAnsi" w:cstheme="minorHAnsi"/>
          <w:lang w:val="sr-Latn-CS"/>
        </w:rPr>
      </w:pPr>
    </w:p>
    <w:p w:rsidR="007243B0" w:rsidRPr="002A0BEE" w:rsidRDefault="007243B0" w:rsidP="002E447F">
      <w:pPr>
        <w:pStyle w:val="Default"/>
        <w:spacing w:line="276" w:lineRule="auto"/>
        <w:rPr>
          <w:rFonts w:asciiTheme="majorHAnsi" w:hAnsiTheme="majorHAnsi" w:cstheme="minorHAnsi"/>
          <w:lang w:val="sr-Latn-CS"/>
        </w:rPr>
      </w:pPr>
    </w:p>
    <w:p w:rsidR="007243B0" w:rsidRPr="002A0BEE" w:rsidRDefault="007243B0" w:rsidP="002E447F">
      <w:pPr>
        <w:pStyle w:val="Default"/>
        <w:spacing w:line="276" w:lineRule="auto"/>
        <w:rPr>
          <w:rFonts w:asciiTheme="majorHAnsi" w:hAnsiTheme="majorHAnsi" w:cstheme="minorHAnsi"/>
          <w:lang w:val="sr-Latn-CS"/>
        </w:rPr>
      </w:pPr>
    </w:p>
    <w:p w:rsidR="007243B0" w:rsidRPr="002A0BEE" w:rsidRDefault="007243B0" w:rsidP="002E447F">
      <w:pPr>
        <w:pStyle w:val="Default"/>
        <w:spacing w:line="276" w:lineRule="auto"/>
        <w:rPr>
          <w:rFonts w:asciiTheme="majorHAnsi" w:hAnsiTheme="majorHAnsi" w:cstheme="minorHAnsi"/>
          <w:lang w:val="sr-Latn-CS"/>
        </w:rPr>
      </w:pPr>
    </w:p>
    <w:p w:rsidR="007243B0" w:rsidRPr="002A0BEE" w:rsidRDefault="007243B0" w:rsidP="002E447F">
      <w:pPr>
        <w:pStyle w:val="Default"/>
        <w:spacing w:line="276" w:lineRule="auto"/>
        <w:rPr>
          <w:rFonts w:asciiTheme="majorHAnsi" w:hAnsiTheme="majorHAnsi" w:cstheme="minorHAnsi"/>
          <w:lang w:val="sr-Latn-CS"/>
        </w:rPr>
      </w:pPr>
    </w:p>
    <w:p w:rsidR="007243B0" w:rsidRPr="002A0BEE" w:rsidRDefault="007243B0"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2E447F">
      <w:pPr>
        <w:spacing w:after="0"/>
        <w:jc w:val="center"/>
        <w:rPr>
          <w:rFonts w:asciiTheme="majorHAnsi" w:hAnsiTheme="majorHAnsi" w:cstheme="minorHAnsi"/>
          <w:i/>
          <w:szCs w:val="24"/>
          <w:lang w:val="sr-Latn-CS"/>
        </w:rPr>
      </w:pPr>
      <w:r w:rsidRPr="002A0BEE">
        <w:rPr>
          <w:rFonts w:asciiTheme="majorHAnsi" w:hAnsiTheme="majorHAnsi" w:cstheme="minorHAnsi"/>
          <w:i/>
          <w:noProof/>
          <w:szCs w:val="24"/>
        </w:rPr>
        <w:lastRenderedPageBreak/>
        <w:drawing>
          <wp:inline distT="0" distB="0" distL="0" distR="0">
            <wp:extent cx="24003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9248F4" w:rsidRPr="002A0BEE" w:rsidRDefault="007243B0" w:rsidP="002E447F">
      <w:pPr>
        <w:spacing w:after="0"/>
        <w:rPr>
          <w:rFonts w:asciiTheme="majorHAnsi" w:hAnsiTheme="majorHAnsi" w:cstheme="minorHAnsi"/>
          <w:b/>
          <w:szCs w:val="24"/>
          <w:lang w:val="sr-Latn-CS"/>
        </w:rPr>
      </w:pPr>
      <w:r w:rsidRPr="002A0BEE">
        <w:rPr>
          <w:rFonts w:asciiTheme="majorHAnsi" w:hAnsiTheme="majorHAnsi" w:cstheme="minorHAnsi"/>
          <w:b/>
          <w:szCs w:val="24"/>
          <w:lang w:val="sr-Latn-CS"/>
        </w:rPr>
        <w:t>Broj: 01-349/5</w:t>
      </w:r>
    </w:p>
    <w:p w:rsidR="009248F4" w:rsidRPr="002A0BEE" w:rsidRDefault="007243B0" w:rsidP="002E447F">
      <w:pPr>
        <w:spacing w:after="0"/>
        <w:rPr>
          <w:rFonts w:asciiTheme="majorHAnsi" w:hAnsiTheme="majorHAnsi" w:cstheme="minorHAnsi"/>
          <w:b/>
          <w:szCs w:val="24"/>
          <w:lang w:val="sr-Latn-CS"/>
        </w:rPr>
      </w:pPr>
      <w:r w:rsidRPr="002A0BEE">
        <w:rPr>
          <w:rFonts w:asciiTheme="majorHAnsi" w:hAnsiTheme="majorHAnsi" w:cstheme="minorHAnsi"/>
          <w:b/>
          <w:szCs w:val="24"/>
          <w:lang w:val="sr-Latn-CS"/>
        </w:rPr>
        <w:t>Podgorica, ------------ 2015</w:t>
      </w:r>
      <w:r w:rsidR="009248F4" w:rsidRPr="002A0BEE">
        <w:rPr>
          <w:rFonts w:asciiTheme="majorHAnsi" w:hAnsiTheme="majorHAnsi" w:cstheme="minorHAnsi"/>
          <w:b/>
          <w:szCs w:val="24"/>
          <w:lang w:val="sr-Latn-CS"/>
        </w:rPr>
        <w:t>. godine</w:t>
      </w: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2E447F">
      <w:pPr>
        <w:spacing w:after="0"/>
        <w:jc w:val="center"/>
        <w:rPr>
          <w:rFonts w:asciiTheme="majorHAnsi" w:hAnsiTheme="majorHAnsi" w:cstheme="minorHAnsi"/>
          <w:b/>
          <w:szCs w:val="24"/>
          <w:lang w:val="sr-Latn-CS"/>
        </w:rPr>
      </w:pPr>
      <w:r w:rsidRPr="002A0BEE">
        <w:rPr>
          <w:rFonts w:asciiTheme="majorHAnsi" w:hAnsiTheme="majorHAnsi" w:cstheme="minorHAnsi"/>
          <w:b/>
          <w:szCs w:val="24"/>
          <w:lang w:val="sr-Latn-CS"/>
        </w:rPr>
        <w:t>K O N C E S I O N I   A K T</w:t>
      </w:r>
    </w:p>
    <w:p w:rsidR="009248F4" w:rsidRPr="002A0BEE" w:rsidRDefault="00B84709" w:rsidP="002E447F">
      <w:pPr>
        <w:spacing w:after="0"/>
        <w:jc w:val="center"/>
        <w:rPr>
          <w:rFonts w:asciiTheme="majorHAnsi" w:hAnsiTheme="majorHAnsi" w:cstheme="minorHAnsi"/>
          <w:b/>
          <w:szCs w:val="24"/>
          <w:lang w:val="sr-Latn-CS"/>
        </w:rPr>
      </w:pPr>
      <w:r w:rsidRPr="002A0BEE">
        <w:rPr>
          <w:rFonts w:asciiTheme="majorHAnsi" w:hAnsiTheme="majorHAnsi" w:cstheme="minorHAnsi"/>
          <w:b/>
          <w:szCs w:val="24"/>
          <w:lang w:val="sr-Latn-CS"/>
        </w:rPr>
        <w:t>o mineralnim</w:t>
      </w:r>
      <w:r w:rsidR="009248F4" w:rsidRPr="002A0BEE">
        <w:rPr>
          <w:rFonts w:asciiTheme="majorHAnsi" w:hAnsiTheme="majorHAnsi" w:cstheme="minorHAnsi"/>
          <w:b/>
          <w:szCs w:val="24"/>
          <w:lang w:val="sr-Latn-CS"/>
        </w:rPr>
        <w:t xml:space="preserve"> </w:t>
      </w:r>
      <w:r w:rsidRPr="002A0BEE">
        <w:rPr>
          <w:rFonts w:asciiTheme="majorHAnsi" w:hAnsiTheme="majorHAnsi" w:cstheme="minorHAnsi"/>
          <w:b/>
          <w:szCs w:val="24"/>
          <w:lang w:val="sr-Latn-CS"/>
        </w:rPr>
        <w:t>sirovinama</w:t>
      </w:r>
      <w:r w:rsidR="009248F4" w:rsidRPr="002A0BEE">
        <w:rPr>
          <w:rFonts w:asciiTheme="majorHAnsi" w:hAnsiTheme="majorHAnsi" w:cstheme="minorHAnsi"/>
          <w:b/>
          <w:szCs w:val="24"/>
          <w:lang w:val="sr-Latn-CS"/>
        </w:rPr>
        <w:t xml:space="preserve"> arhitektonsko-građevinskog (ukrasnog) kamena</w:t>
      </w:r>
      <w:r w:rsidR="007243B0" w:rsidRPr="002A0BEE">
        <w:rPr>
          <w:rFonts w:asciiTheme="majorHAnsi" w:hAnsiTheme="majorHAnsi" w:cstheme="minorHAnsi"/>
          <w:b/>
          <w:szCs w:val="24"/>
          <w:lang w:val="sr-Latn-CS"/>
        </w:rPr>
        <w:t xml:space="preserve"> i tehničko-građevinskog kamena ležišta “Visočica”, opština Danilovgrad</w:t>
      </w:r>
    </w:p>
    <w:p w:rsidR="009248F4" w:rsidRPr="002A0BEE" w:rsidRDefault="009248F4" w:rsidP="002E447F">
      <w:pPr>
        <w:spacing w:after="0"/>
        <w:jc w:val="center"/>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r w:rsidRPr="002A0BEE">
        <w:rPr>
          <w:rFonts w:asciiTheme="majorHAnsi" w:hAnsiTheme="majorHAnsi" w:cstheme="minorHAnsi"/>
          <w:b/>
          <w:szCs w:val="24"/>
          <w:lang w:val="sr-Latn-CS"/>
        </w:rPr>
        <w:t xml:space="preserve">                                                                                                                                               M I N I S T A R</w:t>
      </w:r>
    </w:p>
    <w:p w:rsidR="009248F4" w:rsidRPr="002A0BEE" w:rsidRDefault="009248F4" w:rsidP="002E447F">
      <w:pPr>
        <w:spacing w:after="0"/>
        <w:jc w:val="right"/>
        <w:rPr>
          <w:rFonts w:asciiTheme="majorHAnsi" w:hAnsiTheme="majorHAnsi" w:cstheme="minorHAnsi"/>
          <w:b/>
          <w:szCs w:val="24"/>
          <w:lang w:val="sr-Latn-CS"/>
        </w:rPr>
      </w:pPr>
    </w:p>
    <w:p w:rsidR="009248F4" w:rsidRPr="002A0BEE" w:rsidRDefault="009248F4" w:rsidP="002E447F">
      <w:pPr>
        <w:spacing w:after="0"/>
        <w:jc w:val="center"/>
        <w:rPr>
          <w:rFonts w:asciiTheme="majorHAnsi" w:hAnsiTheme="majorHAnsi" w:cstheme="minorHAnsi"/>
          <w:b/>
          <w:szCs w:val="24"/>
          <w:lang w:val="sr-Latn-CS"/>
        </w:rPr>
      </w:pPr>
      <w:r w:rsidRPr="002A0BEE">
        <w:rPr>
          <w:rFonts w:asciiTheme="majorHAnsi" w:hAnsiTheme="majorHAnsi" w:cstheme="minorHAnsi"/>
          <w:b/>
          <w:szCs w:val="24"/>
          <w:lang w:val="sr-Latn-CS"/>
        </w:rPr>
        <w:t xml:space="preserve">                                                                                                                                     dr Vladimir Kavarić</w:t>
      </w:r>
    </w:p>
    <w:p w:rsidR="009248F4" w:rsidRPr="002A0BEE" w:rsidRDefault="009248F4" w:rsidP="002E447F">
      <w:pPr>
        <w:spacing w:after="0"/>
        <w:rPr>
          <w:rFonts w:asciiTheme="majorHAnsi" w:hAnsiTheme="majorHAnsi" w:cstheme="minorHAnsi"/>
          <w:b/>
          <w:szCs w:val="24"/>
          <w:lang w:val="sr-Latn-CS"/>
        </w:rPr>
      </w:pPr>
    </w:p>
    <w:p w:rsidR="009248F4" w:rsidRPr="002A0BEE" w:rsidRDefault="0021277B" w:rsidP="002E447F">
      <w:pPr>
        <w:spacing w:after="0"/>
        <w:rPr>
          <w:rFonts w:asciiTheme="majorHAnsi" w:hAnsiTheme="majorHAnsi" w:cstheme="minorHAnsi"/>
          <w:b/>
          <w:szCs w:val="24"/>
          <w:lang w:val="sr-Latn-CS"/>
        </w:rPr>
      </w:pPr>
      <w:r w:rsidRPr="0021277B">
        <w:rPr>
          <w:rFonts w:asciiTheme="majorHAnsi" w:hAnsiTheme="majorHAnsi" w:cs="Segoe UI"/>
          <w:b/>
          <w:szCs w:val="24"/>
          <w:shd w:val="clear" w:color="auto" w:fill="FFFFFF"/>
          <w:lang w:val="nn-NO"/>
        </w:rPr>
        <w:t xml:space="preserve">Generalni </w:t>
      </w:r>
      <w:r>
        <w:rPr>
          <w:rFonts w:asciiTheme="majorHAnsi" w:hAnsiTheme="majorHAnsi" w:cstheme="minorHAnsi"/>
          <w:b/>
          <w:szCs w:val="24"/>
          <w:lang w:val="sr-Latn-CS"/>
        </w:rPr>
        <w:t>d</w:t>
      </w:r>
      <w:r w:rsidR="009248F4" w:rsidRPr="002A0BEE">
        <w:rPr>
          <w:rFonts w:asciiTheme="majorHAnsi" w:hAnsiTheme="majorHAnsi" w:cstheme="minorHAnsi"/>
          <w:b/>
          <w:szCs w:val="24"/>
          <w:lang w:val="sr-Latn-CS"/>
        </w:rPr>
        <w:t>irektor Direktorata za rudarstvo i</w:t>
      </w:r>
    </w:p>
    <w:p w:rsidR="009248F4" w:rsidRPr="002A0BEE" w:rsidRDefault="009248F4" w:rsidP="002E447F">
      <w:pPr>
        <w:spacing w:after="0"/>
        <w:rPr>
          <w:rFonts w:asciiTheme="majorHAnsi" w:hAnsiTheme="majorHAnsi" w:cstheme="minorHAnsi"/>
          <w:b/>
          <w:szCs w:val="24"/>
          <w:lang w:val="sr-Latn-CS"/>
        </w:rPr>
      </w:pPr>
      <w:r w:rsidRPr="002A0BEE">
        <w:rPr>
          <w:rFonts w:asciiTheme="majorHAnsi" w:hAnsiTheme="majorHAnsi" w:cstheme="minorHAnsi"/>
          <w:b/>
          <w:szCs w:val="24"/>
          <w:lang w:val="sr-Latn-CS"/>
        </w:rPr>
        <w:t xml:space="preserve"> geološka istraživanja:</w:t>
      </w: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r w:rsidRPr="002A0BEE">
        <w:rPr>
          <w:rFonts w:asciiTheme="majorHAnsi" w:hAnsiTheme="majorHAnsi" w:cstheme="minorHAnsi"/>
          <w:b/>
          <w:szCs w:val="24"/>
          <w:lang w:val="sr-Latn-CS"/>
        </w:rPr>
        <w:t xml:space="preserve"> mr Vladan Dubljević, dipl.inž.geologije</w:t>
      </w: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r w:rsidRPr="002A0BEE">
        <w:rPr>
          <w:rFonts w:asciiTheme="majorHAnsi" w:hAnsiTheme="majorHAnsi" w:cstheme="minorHAnsi"/>
          <w:b/>
          <w:szCs w:val="24"/>
          <w:lang w:val="sr-Latn-CS"/>
        </w:rPr>
        <w:t>Autori Koncesionog akta:</w:t>
      </w:r>
    </w:p>
    <w:p w:rsidR="007243B0" w:rsidRPr="002A0BEE" w:rsidRDefault="007243B0" w:rsidP="002E447F">
      <w:pPr>
        <w:spacing w:after="0"/>
        <w:rPr>
          <w:rFonts w:asciiTheme="majorHAnsi" w:hAnsiTheme="majorHAnsi" w:cstheme="minorHAnsi"/>
          <w:b/>
          <w:szCs w:val="24"/>
          <w:lang w:val="sr-Latn-CS"/>
        </w:rPr>
      </w:pPr>
    </w:p>
    <w:p w:rsidR="007243B0" w:rsidRPr="002A0BEE" w:rsidRDefault="007243B0" w:rsidP="0055031D">
      <w:pPr>
        <w:pStyle w:val="ListParagraph"/>
        <w:numPr>
          <w:ilvl w:val="0"/>
          <w:numId w:val="36"/>
        </w:num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Vesna Vujačić, dipl.inž.geologije, predsjednik,</w:t>
      </w:r>
    </w:p>
    <w:p w:rsidR="007243B0" w:rsidRPr="002A0BEE" w:rsidRDefault="007243B0" w:rsidP="0055031D">
      <w:pPr>
        <w:pStyle w:val="ListParagraph"/>
        <w:numPr>
          <w:ilvl w:val="0"/>
          <w:numId w:val="36"/>
        </w:num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Nebojša Koprivica, dipl.inž.geologije, član,</w:t>
      </w:r>
    </w:p>
    <w:p w:rsidR="007243B0" w:rsidRPr="002A0BEE" w:rsidRDefault="007243B0" w:rsidP="0055031D">
      <w:pPr>
        <w:pStyle w:val="ListParagraph"/>
        <w:numPr>
          <w:ilvl w:val="0"/>
          <w:numId w:val="36"/>
        </w:num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Milenko Žugić, dipl.inž.geologije, član,</w:t>
      </w:r>
    </w:p>
    <w:p w:rsidR="007243B0" w:rsidRPr="002A0BEE" w:rsidRDefault="007243B0" w:rsidP="0055031D">
      <w:pPr>
        <w:pStyle w:val="ListParagraph"/>
        <w:numPr>
          <w:ilvl w:val="0"/>
          <w:numId w:val="36"/>
        </w:numPr>
        <w:spacing w:after="0"/>
        <w:rPr>
          <w:rFonts w:asciiTheme="majorHAnsi" w:hAnsiTheme="majorHAnsi" w:cstheme="minorHAnsi"/>
          <w:b/>
          <w:szCs w:val="24"/>
          <w:lang w:val="sr-Latn-CS"/>
        </w:rPr>
      </w:pPr>
      <w:r w:rsidRPr="002A0BEE">
        <w:rPr>
          <w:rFonts w:asciiTheme="majorHAnsi" w:hAnsiTheme="majorHAnsi" w:cstheme="minorHAnsi"/>
          <w:b/>
          <w:szCs w:val="24"/>
          <w:lang w:val="sr-Latn-CS"/>
        </w:rPr>
        <w:t>Ljiljana Maksimović, dipl.inž.rudarstva, član i</w:t>
      </w:r>
    </w:p>
    <w:p w:rsidR="009248F4" w:rsidRPr="002A0BEE" w:rsidRDefault="007243B0" w:rsidP="0055031D">
      <w:pPr>
        <w:pStyle w:val="ListParagraph"/>
        <w:numPr>
          <w:ilvl w:val="0"/>
          <w:numId w:val="36"/>
        </w:numPr>
        <w:spacing w:after="0"/>
        <w:rPr>
          <w:rFonts w:asciiTheme="majorHAnsi" w:hAnsiTheme="majorHAnsi" w:cstheme="minorHAnsi"/>
          <w:b/>
          <w:szCs w:val="24"/>
          <w:lang w:val="sr-Latn-CS"/>
        </w:rPr>
      </w:pPr>
      <w:r w:rsidRPr="002A0BEE">
        <w:rPr>
          <w:rFonts w:asciiTheme="majorHAnsi" w:hAnsiTheme="majorHAnsi" w:cstheme="minorHAnsi"/>
          <w:b/>
          <w:szCs w:val="24"/>
          <w:lang w:val="sr-Latn-CS"/>
        </w:rPr>
        <w:t>Goran Kujović, dipl.pravnik.</w:t>
      </w:r>
    </w:p>
    <w:p w:rsidR="002A0BEE" w:rsidRDefault="002A0BEE" w:rsidP="002E447F">
      <w:pPr>
        <w:spacing w:after="0"/>
        <w:rPr>
          <w:rFonts w:asciiTheme="majorHAnsi" w:hAnsiTheme="majorHAnsi" w:cstheme="minorHAnsi"/>
          <w:b/>
          <w:szCs w:val="24"/>
          <w:lang w:val="sr-Latn-CS"/>
        </w:rPr>
      </w:pPr>
    </w:p>
    <w:p w:rsidR="009248F4" w:rsidRPr="002A0BEE" w:rsidRDefault="009248F4" w:rsidP="002E447F">
      <w:pPr>
        <w:spacing w:after="0"/>
        <w:rPr>
          <w:rFonts w:asciiTheme="majorHAnsi" w:hAnsiTheme="majorHAnsi" w:cstheme="minorHAnsi"/>
          <w:b/>
          <w:szCs w:val="24"/>
          <w:lang w:val="sr-Latn-CS"/>
        </w:rPr>
      </w:pPr>
      <w:r w:rsidRPr="002A0BEE">
        <w:rPr>
          <w:rFonts w:asciiTheme="majorHAnsi" w:hAnsiTheme="majorHAnsi" w:cstheme="minorHAnsi"/>
          <w:b/>
          <w:szCs w:val="24"/>
          <w:lang w:val="sr-Latn-CS"/>
        </w:rPr>
        <w:lastRenderedPageBreak/>
        <w:t>OPŠTI PODACI O KONCESIONOM AKTU</w:t>
      </w:r>
    </w:p>
    <w:p w:rsidR="009248F4" w:rsidRPr="002A0BEE" w:rsidRDefault="009248F4" w:rsidP="002E447F">
      <w:pPr>
        <w:spacing w:after="0"/>
        <w:jc w:val="both"/>
        <w:rPr>
          <w:rFonts w:asciiTheme="majorHAnsi" w:hAnsiTheme="majorHAnsi" w:cstheme="minorHAnsi"/>
          <w:b/>
          <w:szCs w:val="24"/>
          <w:lang w:val="sr-Latn-CS"/>
        </w:rPr>
      </w:pPr>
    </w:p>
    <w:p w:rsidR="009248F4" w:rsidRPr="002A0BEE" w:rsidRDefault="009248F4"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Naziv Koncesionog akta:</w:t>
      </w:r>
    </w:p>
    <w:p w:rsidR="009248F4" w:rsidRPr="002A0BEE" w:rsidRDefault="009248F4" w:rsidP="002E447F">
      <w:pPr>
        <w:spacing w:after="0"/>
        <w:jc w:val="both"/>
        <w:rPr>
          <w:rFonts w:asciiTheme="majorHAnsi" w:hAnsiTheme="majorHAnsi" w:cstheme="minorHAnsi"/>
          <w:b/>
          <w:szCs w:val="24"/>
          <w:lang w:val="sr-Latn-CS"/>
        </w:rPr>
      </w:pPr>
    </w:p>
    <w:p w:rsidR="009248F4" w:rsidRPr="002A0BEE" w:rsidRDefault="007243B0"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Koncesioni akt o mineralnoj sirovini</w:t>
      </w:r>
      <w:r w:rsidR="009248F4" w:rsidRPr="002A0BEE">
        <w:rPr>
          <w:rFonts w:asciiTheme="majorHAnsi" w:hAnsiTheme="majorHAnsi" w:cstheme="minorHAnsi"/>
          <w:szCs w:val="24"/>
          <w:lang w:val="sr-Latn-CS"/>
        </w:rPr>
        <w:t xml:space="preserve"> arhitektonsko-građevinskog (ukrasnog) kamena</w:t>
      </w:r>
      <w:r w:rsidRPr="002A0BEE">
        <w:rPr>
          <w:rFonts w:asciiTheme="majorHAnsi" w:hAnsiTheme="majorHAnsi" w:cstheme="minorHAnsi"/>
          <w:szCs w:val="24"/>
          <w:lang w:val="sr-Latn-CS"/>
        </w:rPr>
        <w:t xml:space="preserve"> i tehničko-građevinskog kamena ležišta “Visočica”, opština Danilovgrad</w:t>
      </w:r>
      <w:r w:rsidR="009248F4" w:rsidRPr="002A0BEE">
        <w:rPr>
          <w:rFonts w:asciiTheme="majorHAnsi" w:hAnsiTheme="majorHAnsi" w:cstheme="minorHAnsi"/>
          <w:szCs w:val="24"/>
          <w:lang w:val="sr-Latn-CS"/>
        </w:rPr>
        <w:t>.</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Naručilac izrade Koncesionog akta:</w:t>
      </w:r>
    </w:p>
    <w:p w:rsidR="009248F4" w:rsidRPr="002A0BEE" w:rsidRDefault="009248F4" w:rsidP="002E447F">
      <w:pPr>
        <w:spacing w:after="0"/>
        <w:jc w:val="both"/>
        <w:rPr>
          <w:rFonts w:asciiTheme="majorHAnsi" w:hAnsiTheme="majorHAnsi" w:cstheme="minorHAnsi"/>
          <w:b/>
          <w:szCs w:val="24"/>
          <w:lang w:val="sr-Latn-CS"/>
        </w:rPr>
      </w:pPr>
    </w:p>
    <w:p w:rsidR="009248F4" w:rsidRPr="002A0BEE" w:rsidRDefault="009248F4"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Izrada Koncesionog akta izvršena</w:t>
      </w:r>
      <w:r w:rsidR="001C6A86" w:rsidRPr="002A0BEE">
        <w:rPr>
          <w:rFonts w:asciiTheme="majorHAnsi" w:hAnsiTheme="majorHAnsi" w:cstheme="minorHAnsi"/>
          <w:szCs w:val="24"/>
          <w:lang w:val="sr-Latn-CS"/>
        </w:rPr>
        <w:t xml:space="preserve"> je na osnovu inicijative DOO “Šišković” – Danilovgrad</w:t>
      </w:r>
      <w:r w:rsidRPr="002A0BEE">
        <w:rPr>
          <w:rFonts w:asciiTheme="majorHAnsi" w:hAnsiTheme="majorHAnsi" w:cstheme="minorHAnsi"/>
          <w:szCs w:val="24"/>
          <w:lang w:val="sr-Latn-CS"/>
        </w:rPr>
        <w:t xml:space="preserve">, </w:t>
      </w:r>
      <w:r w:rsidR="008E0D33" w:rsidRPr="002A0BEE">
        <w:rPr>
          <w:rFonts w:asciiTheme="majorHAnsi" w:hAnsiTheme="majorHAnsi" w:cstheme="minorHAnsi"/>
          <w:szCs w:val="24"/>
          <w:lang w:val="sr-Latn-CS"/>
        </w:rPr>
        <w:t xml:space="preserve">br.1112 od 12.12.2014. godine, </w:t>
      </w:r>
      <w:r w:rsidRPr="002A0BEE">
        <w:rPr>
          <w:rFonts w:asciiTheme="majorHAnsi" w:hAnsiTheme="majorHAnsi" w:cstheme="minorHAnsi"/>
          <w:szCs w:val="24"/>
          <w:lang w:val="sr-Latn-CS"/>
        </w:rPr>
        <w:t>zavedene u arhivi Minista</w:t>
      </w:r>
      <w:r w:rsidR="008E0D33" w:rsidRPr="002A0BEE">
        <w:rPr>
          <w:rFonts w:asciiTheme="majorHAnsi" w:hAnsiTheme="majorHAnsi" w:cstheme="minorHAnsi"/>
          <w:szCs w:val="24"/>
          <w:lang w:val="sr-Latn-CS"/>
        </w:rPr>
        <w:t>rstva ekonomije pod brojem: 07–2504</w:t>
      </w:r>
      <w:r w:rsidRPr="002A0BEE">
        <w:rPr>
          <w:rFonts w:asciiTheme="majorHAnsi" w:hAnsiTheme="majorHAnsi" w:cstheme="minorHAnsi"/>
          <w:szCs w:val="24"/>
          <w:lang w:val="sr-Latn-CS"/>
        </w:rPr>
        <w:t>/1</w:t>
      </w:r>
      <w:r w:rsidR="008E0D33" w:rsidRPr="002A0BEE">
        <w:rPr>
          <w:rFonts w:asciiTheme="majorHAnsi" w:hAnsiTheme="majorHAnsi" w:cstheme="minorHAnsi"/>
          <w:szCs w:val="24"/>
          <w:lang w:val="sr-Latn-CS"/>
        </w:rPr>
        <w:t>9 od 12.12.2014. godine i dopune iste, br.76 od 10</w:t>
      </w:r>
      <w:r w:rsidR="00915412" w:rsidRPr="002A0BEE">
        <w:rPr>
          <w:rFonts w:asciiTheme="majorHAnsi" w:hAnsiTheme="majorHAnsi" w:cstheme="minorHAnsi"/>
          <w:szCs w:val="24"/>
          <w:lang w:val="sr-Latn-CS"/>
        </w:rPr>
        <w:t>.</w:t>
      </w:r>
      <w:r w:rsidR="008E0D33" w:rsidRPr="002A0BEE">
        <w:rPr>
          <w:rFonts w:asciiTheme="majorHAnsi" w:hAnsiTheme="majorHAnsi" w:cstheme="minorHAnsi"/>
          <w:szCs w:val="24"/>
          <w:lang w:val="sr-Latn-CS"/>
        </w:rPr>
        <w:t xml:space="preserve">02.2015. godine, zavedene u arhivi ministarstva pod brojem: </w:t>
      </w:r>
      <w:r w:rsidR="00915412" w:rsidRPr="002A0BEE">
        <w:rPr>
          <w:rFonts w:asciiTheme="majorHAnsi" w:hAnsiTheme="majorHAnsi" w:cstheme="minorHAnsi"/>
          <w:szCs w:val="24"/>
          <w:lang w:val="sr-Latn-CS"/>
        </w:rPr>
        <w:t>07-</w:t>
      </w:r>
      <w:r w:rsidR="008E0D33" w:rsidRPr="002A0BEE">
        <w:rPr>
          <w:rFonts w:asciiTheme="majorHAnsi" w:hAnsiTheme="majorHAnsi" w:cstheme="minorHAnsi"/>
          <w:szCs w:val="24"/>
          <w:lang w:val="sr-Latn-CS"/>
        </w:rPr>
        <w:t>349/1 od 10.02.2015. godine.</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Izrada Koncesionog akta:</w:t>
      </w:r>
    </w:p>
    <w:p w:rsidR="009248F4" w:rsidRPr="002A0BEE" w:rsidRDefault="009248F4" w:rsidP="002E447F">
      <w:pPr>
        <w:spacing w:after="0"/>
        <w:jc w:val="both"/>
        <w:rPr>
          <w:rFonts w:asciiTheme="majorHAnsi" w:hAnsiTheme="majorHAnsi" w:cstheme="minorHAnsi"/>
          <w:b/>
          <w:szCs w:val="24"/>
          <w:lang w:val="sr-Latn-CS"/>
        </w:rPr>
      </w:pPr>
    </w:p>
    <w:p w:rsidR="009248F4" w:rsidRPr="002A0BEE" w:rsidRDefault="009248F4"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Koncesioni akt je uradilo Ministarstvo ekonomije preko Radne grupe za izradu Koncesiono</w:t>
      </w:r>
      <w:r w:rsidR="00DF0540" w:rsidRPr="002A0BEE">
        <w:rPr>
          <w:rFonts w:asciiTheme="majorHAnsi" w:hAnsiTheme="majorHAnsi" w:cstheme="minorHAnsi"/>
          <w:szCs w:val="24"/>
          <w:lang w:val="sr-Latn-CS"/>
        </w:rPr>
        <w:t xml:space="preserve">g akta o mineralnoj sirovini arhitektonsko-građevinskog (ukrasnog) </w:t>
      </w:r>
      <w:r w:rsidRPr="002A0BEE">
        <w:rPr>
          <w:rFonts w:asciiTheme="majorHAnsi" w:hAnsiTheme="majorHAnsi" w:cstheme="minorHAnsi"/>
          <w:szCs w:val="24"/>
          <w:lang w:val="sr-Latn-CS"/>
        </w:rPr>
        <w:t xml:space="preserve">kamena </w:t>
      </w:r>
      <w:r w:rsidR="00915412" w:rsidRPr="002A0BEE">
        <w:rPr>
          <w:rFonts w:asciiTheme="majorHAnsi" w:hAnsiTheme="majorHAnsi" w:cstheme="minorHAnsi"/>
          <w:szCs w:val="24"/>
          <w:lang w:val="sr-Latn-CS"/>
        </w:rPr>
        <w:t>i</w:t>
      </w:r>
      <w:r w:rsidR="00DF0540" w:rsidRPr="002A0BEE">
        <w:rPr>
          <w:rFonts w:asciiTheme="majorHAnsi" w:hAnsiTheme="majorHAnsi" w:cstheme="minorHAnsi"/>
          <w:szCs w:val="24"/>
          <w:lang w:val="sr-Latn-CS"/>
        </w:rPr>
        <w:t xml:space="preserve"> tehničko-građevinskog kamena ležišta „Visočica”, opština Danilovgrad</w:t>
      </w:r>
      <w:r w:rsidRPr="002A0BEE">
        <w:rPr>
          <w:rFonts w:asciiTheme="majorHAnsi" w:hAnsiTheme="majorHAnsi" w:cstheme="minorHAnsi"/>
          <w:szCs w:val="24"/>
          <w:lang w:val="sr-Latn-CS"/>
        </w:rPr>
        <w:t>, koju je fo</w:t>
      </w:r>
      <w:r w:rsidR="00DF0540" w:rsidRPr="002A0BEE">
        <w:rPr>
          <w:rFonts w:asciiTheme="majorHAnsi" w:hAnsiTheme="majorHAnsi" w:cstheme="minorHAnsi"/>
          <w:szCs w:val="24"/>
          <w:lang w:val="sr-Latn-CS"/>
        </w:rPr>
        <w:t>rmiralo Rješenjem, broj: 01-349/4 od 17.09.2015</w:t>
      </w:r>
      <w:r w:rsidRPr="002A0BEE">
        <w:rPr>
          <w:rFonts w:asciiTheme="majorHAnsi" w:hAnsiTheme="majorHAnsi" w:cstheme="minorHAnsi"/>
          <w:szCs w:val="24"/>
          <w:lang w:val="sr-Latn-CS"/>
        </w:rPr>
        <w:t>. godine.</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Autori Koncesionog akta:</w:t>
      </w:r>
    </w:p>
    <w:p w:rsidR="009248F4" w:rsidRPr="002A0BEE" w:rsidRDefault="009248F4" w:rsidP="002E447F">
      <w:pPr>
        <w:spacing w:after="0"/>
        <w:jc w:val="both"/>
        <w:rPr>
          <w:rFonts w:asciiTheme="majorHAnsi" w:hAnsiTheme="majorHAnsi" w:cstheme="minorHAnsi"/>
          <w:b/>
          <w:szCs w:val="24"/>
          <w:lang w:val="sr-Latn-CS"/>
        </w:rPr>
      </w:pPr>
    </w:p>
    <w:p w:rsidR="00DF0540" w:rsidRPr="002A0BEE" w:rsidRDefault="00DF0540"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1. Vesna Vujačić, dipl.inž.geologije, predsjednik,</w:t>
      </w:r>
    </w:p>
    <w:p w:rsidR="00DF0540" w:rsidRPr="002A0BEE" w:rsidRDefault="00DF0540"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2. Nebojša Koprivica, dipl.inž.geologije, član,</w:t>
      </w:r>
    </w:p>
    <w:p w:rsidR="00DF0540" w:rsidRPr="002A0BEE" w:rsidRDefault="00DF0540"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3. Milenko Žugić, dipl.inž.geologije, član,</w:t>
      </w:r>
    </w:p>
    <w:p w:rsidR="00DF0540" w:rsidRPr="002A0BEE" w:rsidRDefault="00DF0540" w:rsidP="002E447F">
      <w:pPr>
        <w:spacing w:after="0"/>
        <w:rPr>
          <w:rFonts w:asciiTheme="majorHAnsi" w:hAnsiTheme="majorHAnsi" w:cstheme="minorHAnsi"/>
          <w:szCs w:val="24"/>
          <w:lang w:val="sr-Latn-CS"/>
        </w:rPr>
      </w:pPr>
      <w:r w:rsidRPr="002A0BEE">
        <w:rPr>
          <w:rFonts w:asciiTheme="majorHAnsi" w:hAnsiTheme="majorHAnsi" w:cstheme="minorHAnsi"/>
          <w:szCs w:val="24"/>
          <w:lang w:val="sr-Latn-CS"/>
        </w:rPr>
        <w:t xml:space="preserve">         4. Ljiljana Maksimović, dipl.inž.rudarstva, član i</w:t>
      </w:r>
    </w:p>
    <w:p w:rsidR="00DF0540" w:rsidRPr="002A0BEE" w:rsidRDefault="00DF0540" w:rsidP="002E447F">
      <w:pPr>
        <w:spacing w:after="0"/>
        <w:rPr>
          <w:rFonts w:asciiTheme="majorHAnsi" w:hAnsiTheme="majorHAnsi" w:cstheme="minorHAnsi"/>
          <w:szCs w:val="24"/>
          <w:lang w:val="sr-Latn-CS"/>
        </w:rPr>
      </w:pPr>
      <w:r w:rsidRPr="002A0BEE">
        <w:rPr>
          <w:rFonts w:asciiTheme="majorHAnsi" w:hAnsiTheme="majorHAnsi" w:cstheme="minorHAnsi"/>
          <w:szCs w:val="24"/>
          <w:lang w:val="sr-Latn-CS"/>
        </w:rPr>
        <w:t xml:space="preserve">         5. Goran Kujović, dipl.pravnik.</w:t>
      </w:r>
    </w:p>
    <w:p w:rsidR="00DF0540" w:rsidRPr="002A0BEE" w:rsidRDefault="00DF0540"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Troškovi izrade Koncesionog akta:</w:t>
      </w:r>
    </w:p>
    <w:p w:rsidR="009248F4" w:rsidRPr="002A0BEE" w:rsidRDefault="009248F4" w:rsidP="002E447F">
      <w:pPr>
        <w:spacing w:after="0"/>
        <w:jc w:val="both"/>
        <w:rPr>
          <w:rFonts w:asciiTheme="majorHAnsi" w:hAnsiTheme="majorHAnsi" w:cstheme="minorHAnsi"/>
          <w:b/>
          <w:szCs w:val="24"/>
          <w:lang w:val="sr-Latn-CS"/>
        </w:rPr>
      </w:pPr>
    </w:p>
    <w:p w:rsidR="009248F4" w:rsidRPr="002A0BEE" w:rsidRDefault="009248F4" w:rsidP="002E447F">
      <w:pPr>
        <w:spacing w:after="0"/>
        <w:jc w:val="both"/>
        <w:rPr>
          <w:rFonts w:asciiTheme="majorHAnsi" w:hAnsiTheme="majorHAnsi" w:cstheme="minorHAnsi"/>
          <w:b/>
          <w:szCs w:val="24"/>
          <w:lang w:val="sr-Latn-CS"/>
        </w:rPr>
      </w:pPr>
      <w:r w:rsidRPr="002A0BEE">
        <w:rPr>
          <w:rFonts w:asciiTheme="majorHAnsi" w:hAnsiTheme="majorHAnsi" w:cstheme="minorHAnsi"/>
          <w:szCs w:val="24"/>
          <w:lang w:val="sr-Latn-CS"/>
        </w:rPr>
        <w:t>Troškove izrade Koncesionog akta snosi naručilac D</w:t>
      </w:r>
      <w:r w:rsidR="00DF0540" w:rsidRPr="002A0BEE">
        <w:rPr>
          <w:rFonts w:asciiTheme="majorHAnsi" w:hAnsiTheme="majorHAnsi" w:cstheme="minorHAnsi"/>
          <w:szCs w:val="24"/>
          <w:lang w:val="sr-Latn-CS"/>
        </w:rPr>
        <w:t>OO</w:t>
      </w:r>
      <w:r w:rsidRPr="002A0BEE">
        <w:rPr>
          <w:rFonts w:asciiTheme="majorHAnsi" w:hAnsiTheme="majorHAnsi" w:cstheme="minorHAnsi"/>
          <w:color w:val="FF0000"/>
          <w:szCs w:val="24"/>
          <w:lang w:val="sr-Latn-CS"/>
        </w:rPr>
        <w:t xml:space="preserve"> </w:t>
      </w:r>
      <w:r w:rsidR="00DF0540" w:rsidRPr="002A0BEE">
        <w:rPr>
          <w:rFonts w:asciiTheme="majorHAnsi" w:hAnsiTheme="majorHAnsi" w:cstheme="minorHAnsi"/>
          <w:szCs w:val="24"/>
          <w:lang w:val="sr-Latn-CS"/>
        </w:rPr>
        <w:t>“Šišković” – Danilovgrad</w:t>
      </w:r>
      <w:r w:rsidRPr="002A0BEE">
        <w:rPr>
          <w:rFonts w:asciiTheme="majorHAnsi" w:hAnsiTheme="majorHAnsi" w:cstheme="minorHAnsi"/>
          <w:szCs w:val="24"/>
          <w:lang w:val="sr-Latn-CS"/>
        </w:rPr>
        <w:t>, u skladu sa odredbama Zakona o koncesijama (“Sl. list CG”, br. 08/09).</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Koncesioni akt je urađen u skladu sa čl. 9, 17 i 19 Zakona o koncesijama.</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Izvori podataka za izradu Koncesionog akta:</w:t>
      </w:r>
    </w:p>
    <w:p w:rsidR="00DF0540" w:rsidRPr="002A0BEE" w:rsidRDefault="00DF0540" w:rsidP="002E447F">
      <w:pPr>
        <w:spacing w:after="0"/>
        <w:jc w:val="both"/>
        <w:rPr>
          <w:rFonts w:asciiTheme="majorHAnsi" w:hAnsiTheme="majorHAnsi" w:cstheme="minorHAnsi"/>
          <w:b/>
          <w:szCs w:val="24"/>
          <w:lang w:val="sr-Latn-CS"/>
        </w:rPr>
      </w:pPr>
    </w:p>
    <w:p w:rsidR="009248F4" w:rsidRPr="002A0BEE" w:rsidRDefault="009248F4" w:rsidP="0055031D">
      <w:pPr>
        <w:pStyle w:val="ListParagraph"/>
        <w:numPr>
          <w:ilvl w:val="0"/>
          <w:numId w:val="26"/>
        </w:numPr>
        <w:spacing w:after="0"/>
        <w:jc w:val="both"/>
        <w:rPr>
          <w:rFonts w:asciiTheme="majorHAnsi" w:hAnsiTheme="majorHAnsi" w:cstheme="minorHAnsi"/>
          <w:b/>
          <w:szCs w:val="24"/>
          <w:lang w:val="sr-Latn-CS"/>
        </w:rPr>
      </w:pPr>
      <w:r w:rsidRPr="002A0BEE">
        <w:rPr>
          <w:rFonts w:asciiTheme="majorHAnsi" w:hAnsiTheme="majorHAnsi" w:cstheme="minorHAnsi"/>
          <w:szCs w:val="24"/>
          <w:lang w:val="sr-Latn-CS"/>
        </w:rPr>
        <w:lastRenderedPageBreak/>
        <w:t>Izvještaj Komisije za ocjenu inicijative za pokretanje postupka davanja konc</w:t>
      </w:r>
      <w:r w:rsidR="00DF0540" w:rsidRPr="002A0BEE">
        <w:rPr>
          <w:rFonts w:asciiTheme="majorHAnsi" w:hAnsiTheme="majorHAnsi" w:cstheme="minorHAnsi"/>
          <w:szCs w:val="24"/>
          <w:lang w:val="sr-Latn-CS"/>
        </w:rPr>
        <w:t xml:space="preserve">esije za </w:t>
      </w:r>
      <w:r w:rsidRPr="002A0BEE">
        <w:rPr>
          <w:rFonts w:asciiTheme="majorHAnsi" w:hAnsiTheme="majorHAnsi" w:cstheme="minorHAnsi"/>
          <w:szCs w:val="24"/>
          <w:lang w:val="sr-Latn-CS"/>
        </w:rPr>
        <w:t>eksploataciju mineralne sirovine arhitektonsko-građevinskog kamena</w:t>
      </w:r>
      <w:r w:rsidR="00DF0540" w:rsidRPr="002A0BEE">
        <w:rPr>
          <w:rFonts w:asciiTheme="majorHAnsi" w:hAnsiTheme="majorHAnsi" w:cstheme="minorHAnsi"/>
          <w:szCs w:val="24"/>
          <w:lang w:val="sr-Latn-CS"/>
        </w:rPr>
        <w:t xml:space="preserve"> (ukrasnog) kamena I tehničko-građevinskog kamena na ležištu “Visočica”, opština Danilovgrad</w:t>
      </w:r>
      <w:r w:rsidRPr="002A0BEE">
        <w:rPr>
          <w:rFonts w:asciiTheme="majorHAnsi" w:hAnsiTheme="majorHAnsi" w:cstheme="minorHAnsi"/>
          <w:szCs w:val="24"/>
          <w:lang w:val="sr-Latn-CS"/>
        </w:rPr>
        <w:t>;</w:t>
      </w:r>
    </w:p>
    <w:p w:rsidR="009248F4" w:rsidRPr="002A0BEE" w:rsidRDefault="009248F4" w:rsidP="0055031D">
      <w:pPr>
        <w:pStyle w:val="ListParagraph"/>
        <w:numPr>
          <w:ilvl w:val="0"/>
          <w:numId w:val="26"/>
        </w:numPr>
        <w:spacing w:after="0"/>
        <w:jc w:val="both"/>
        <w:rPr>
          <w:rFonts w:asciiTheme="majorHAnsi" w:hAnsiTheme="majorHAnsi" w:cstheme="minorHAnsi"/>
          <w:b/>
          <w:szCs w:val="24"/>
          <w:lang w:val="sr-Latn-CS"/>
        </w:rPr>
      </w:pPr>
      <w:r w:rsidRPr="002A0BEE">
        <w:rPr>
          <w:rFonts w:asciiTheme="majorHAnsi" w:hAnsiTheme="majorHAnsi" w:cstheme="minorHAnsi"/>
          <w:szCs w:val="24"/>
          <w:lang w:val="sr-Latn-CS"/>
        </w:rPr>
        <w:t>Raspoloživa geološka i rudarska dokumentacija Ministarstva ekonomije;</w:t>
      </w:r>
    </w:p>
    <w:p w:rsidR="009248F4" w:rsidRPr="002A0BEE" w:rsidRDefault="009248F4" w:rsidP="0055031D">
      <w:pPr>
        <w:pStyle w:val="ListParagraph"/>
        <w:numPr>
          <w:ilvl w:val="0"/>
          <w:numId w:val="26"/>
        </w:numPr>
        <w:spacing w:after="0"/>
        <w:jc w:val="both"/>
        <w:rPr>
          <w:rFonts w:asciiTheme="majorHAnsi" w:hAnsiTheme="majorHAnsi" w:cstheme="minorHAnsi"/>
          <w:b/>
          <w:szCs w:val="24"/>
          <w:lang w:val="sr-Latn-CS"/>
        </w:rPr>
      </w:pPr>
      <w:r w:rsidRPr="002A0BEE">
        <w:rPr>
          <w:rFonts w:asciiTheme="majorHAnsi" w:hAnsiTheme="majorHAnsi" w:cstheme="minorHAnsi"/>
          <w:szCs w:val="24"/>
          <w:lang w:val="sr-Latn-CS"/>
        </w:rPr>
        <w:t>Podaci Uprave za nekretnine Crne</w:t>
      </w:r>
      <w:r w:rsidR="009F3173" w:rsidRPr="002A0BEE">
        <w:rPr>
          <w:rFonts w:asciiTheme="majorHAnsi" w:hAnsiTheme="majorHAnsi" w:cstheme="minorHAnsi"/>
          <w:szCs w:val="24"/>
          <w:lang w:val="sr-Latn-CS"/>
        </w:rPr>
        <w:t xml:space="preserve"> Gore, Područna jedinica Danilovgrad</w:t>
      </w:r>
      <w:r w:rsidRPr="002A0BEE">
        <w:rPr>
          <w:rFonts w:asciiTheme="majorHAnsi" w:hAnsiTheme="majorHAnsi" w:cstheme="minorHAnsi"/>
          <w:szCs w:val="24"/>
          <w:lang w:val="sr-Latn-CS"/>
        </w:rPr>
        <w:t>;</w:t>
      </w:r>
    </w:p>
    <w:p w:rsidR="009248F4" w:rsidRPr="002A0BEE" w:rsidRDefault="009248F4" w:rsidP="0055031D">
      <w:pPr>
        <w:pStyle w:val="ListParagraph"/>
        <w:numPr>
          <w:ilvl w:val="0"/>
          <w:numId w:val="26"/>
        </w:numPr>
        <w:spacing w:after="0"/>
        <w:jc w:val="both"/>
        <w:rPr>
          <w:rFonts w:asciiTheme="majorHAnsi" w:hAnsiTheme="majorHAnsi" w:cstheme="minorHAnsi"/>
          <w:b/>
          <w:szCs w:val="24"/>
          <w:lang w:val="sr-Latn-CS"/>
        </w:rPr>
      </w:pPr>
      <w:r w:rsidRPr="002A0BEE">
        <w:rPr>
          <w:rFonts w:asciiTheme="majorHAnsi" w:hAnsiTheme="majorHAnsi" w:cstheme="minorHAnsi"/>
          <w:szCs w:val="24"/>
          <w:lang w:val="sr-Latn-CS"/>
        </w:rPr>
        <w:t>Izvod iz Prostorno-urbanist</w:t>
      </w:r>
      <w:r w:rsidR="002454D1" w:rsidRPr="002A0BEE">
        <w:rPr>
          <w:rFonts w:asciiTheme="majorHAnsi" w:hAnsiTheme="majorHAnsi" w:cstheme="minorHAnsi"/>
          <w:szCs w:val="24"/>
          <w:lang w:val="sr-Latn-CS"/>
        </w:rPr>
        <w:t xml:space="preserve">ičkog plana </w:t>
      </w:r>
      <w:r w:rsidR="00915412" w:rsidRPr="002A0BEE">
        <w:rPr>
          <w:rFonts w:asciiTheme="majorHAnsi" w:hAnsiTheme="majorHAnsi" w:cstheme="minorHAnsi"/>
          <w:szCs w:val="24"/>
          <w:lang w:val="sr-Latn-CS"/>
        </w:rPr>
        <w:t>o</w:t>
      </w:r>
      <w:r w:rsidR="002454D1" w:rsidRPr="002A0BEE">
        <w:rPr>
          <w:rFonts w:asciiTheme="majorHAnsi" w:hAnsiTheme="majorHAnsi" w:cstheme="minorHAnsi"/>
          <w:szCs w:val="24"/>
          <w:lang w:val="sr-Latn-CS"/>
        </w:rPr>
        <w:t>pštine Danilovgrad</w:t>
      </w:r>
      <w:r w:rsidRPr="002A0BEE">
        <w:rPr>
          <w:rFonts w:asciiTheme="majorHAnsi" w:hAnsiTheme="majorHAnsi" w:cstheme="minorHAnsi"/>
          <w:szCs w:val="24"/>
          <w:lang w:val="sr-Latn-CS"/>
        </w:rPr>
        <w:t xml:space="preserve"> („Sl.list CG“-opštinski propisi, br.12/14) u kojem je definisana</w:t>
      </w:r>
      <w:r w:rsidR="002454D1" w:rsidRPr="002A0BEE">
        <w:rPr>
          <w:rFonts w:asciiTheme="majorHAnsi" w:hAnsiTheme="majorHAnsi" w:cstheme="minorHAnsi"/>
          <w:szCs w:val="24"/>
          <w:lang w:val="sr-Latn-CS"/>
        </w:rPr>
        <w:t xml:space="preserve"> namjena prostora „Visočica“ za eksploataciju mineralne sirovine </w:t>
      </w:r>
      <w:r w:rsidRPr="002A0BEE">
        <w:rPr>
          <w:rFonts w:asciiTheme="majorHAnsi" w:hAnsiTheme="majorHAnsi" w:cstheme="minorHAnsi"/>
          <w:szCs w:val="24"/>
          <w:lang w:val="sr-Latn-CS"/>
        </w:rPr>
        <w:t>arhitektonsko-građevinskog (ukrasnog) kamena</w:t>
      </w:r>
      <w:r w:rsidR="00060D31" w:rsidRPr="002A0BEE">
        <w:rPr>
          <w:rFonts w:asciiTheme="majorHAnsi" w:hAnsiTheme="majorHAnsi" w:cstheme="minorHAnsi"/>
          <w:szCs w:val="24"/>
          <w:lang w:val="sr-Latn-CS"/>
        </w:rPr>
        <w:t>;</w:t>
      </w:r>
    </w:p>
    <w:p w:rsidR="009248F4" w:rsidRPr="002A0BEE" w:rsidRDefault="009248F4" w:rsidP="0055031D">
      <w:pPr>
        <w:pStyle w:val="ListParagraph"/>
        <w:numPr>
          <w:ilvl w:val="0"/>
          <w:numId w:val="26"/>
        </w:numPr>
        <w:spacing w:after="0"/>
        <w:jc w:val="both"/>
        <w:rPr>
          <w:rFonts w:asciiTheme="majorHAnsi" w:hAnsiTheme="majorHAnsi" w:cstheme="minorHAnsi"/>
          <w:b/>
          <w:szCs w:val="24"/>
          <w:lang w:val="sr-Latn-CS"/>
        </w:rPr>
      </w:pPr>
      <w:r w:rsidRPr="002A0BEE">
        <w:rPr>
          <w:rFonts w:asciiTheme="majorHAnsi" w:hAnsiTheme="majorHAnsi" w:cstheme="minorHAnsi"/>
          <w:szCs w:val="24"/>
          <w:lang w:val="sr-Latn-CS"/>
        </w:rPr>
        <w:t>Podaci o ostvarenoj proizvodnji arhitektonsko-građevi</w:t>
      </w:r>
      <w:r w:rsidR="009F3173" w:rsidRPr="002A0BEE">
        <w:rPr>
          <w:rFonts w:asciiTheme="majorHAnsi" w:hAnsiTheme="majorHAnsi" w:cstheme="minorHAnsi"/>
          <w:szCs w:val="24"/>
          <w:lang w:val="sr-Latn-CS"/>
        </w:rPr>
        <w:t xml:space="preserve">nskog kamena </w:t>
      </w:r>
      <w:r w:rsidR="00060D31" w:rsidRPr="002A0BEE">
        <w:rPr>
          <w:rFonts w:asciiTheme="majorHAnsi" w:hAnsiTheme="majorHAnsi" w:cstheme="minorHAnsi"/>
          <w:szCs w:val="24"/>
          <w:lang w:val="sr-Latn-CS"/>
        </w:rPr>
        <w:t>i</w:t>
      </w:r>
      <w:r w:rsidR="002454D1" w:rsidRPr="002A0BEE">
        <w:rPr>
          <w:rFonts w:asciiTheme="majorHAnsi" w:hAnsiTheme="majorHAnsi" w:cstheme="minorHAnsi"/>
          <w:szCs w:val="24"/>
          <w:lang w:val="sr-Latn-CS"/>
        </w:rPr>
        <w:t xml:space="preserve"> tehničko-građevinskog kamena</w:t>
      </w:r>
      <w:r w:rsidR="00060D31" w:rsidRPr="002A0BEE">
        <w:rPr>
          <w:rFonts w:asciiTheme="majorHAnsi" w:hAnsiTheme="majorHAnsi" w:cstheme="minorHAnsi"/>
          <w:szCs w:val="24"/>
          <w:lang w:val="sr-Latn-CS"/>
        </w:rPr>
        <w:t xml:space="preserve"> </w:t>
      </w:r>
      <w:r w:rsidR="009F3173" w:rsidRPr="002A0BEE">
        <w:rPr>
          <w:rFonts w:asciiTheme="majorHAnsi" w:hAnsiTheme="majorHAnsi" w:cstheme="minorHAnsi"/>
          <w:szCs w:val="24"/>
          <w:lang w:val="sr-Latn-CS"/>
        </w:rPr>
        <w:t>u Crnoj Gori u 2014</w:t>
      </w:r>
      <w:r w:rsidRPr="002A0BEE">
        <w:rPr>
          <w:rFonts w:asciiTheme="majorHAnsi" w:hAnsiTheme="majorHAnsi" w:cstheme="minorHAnsi"/>
          <w:szCs w:val="24"/>
          <w:lang w:val="sr-Latn-CS"/>
        </w:rPr>
        <w:t xml:space="preserve">. </w:t>
      </w:r>
      <w:r w:rsidR="00060D31" w:rsidRPr="002A0BEE">
        <w:rPr>
          <w:rFonts w:asciiTheme="majorHAnsi" w:hAnsiTheme="majorHAnsi" w:cstheme="minorHAnsi"/>
          <w:szCs w:val="24"/>
          <w:lang w:val="sr-Latn-CS"/>
        </w:rPr>
        <w:t>g</w:t>
      </w:r>
      <w:r w:rsidRPr="002A0BEE">
        <w:rPr>
          <w:rFonts w:asciiTheme="majorHAnsi" w:hAnsiTheme="majorHAnsi" w:cstheme="minorHAnsi"/>
          <w:szCs w:val="24"/>
          <w:lang w:val="sr-Latn-CS"/>
        </w:rPr>
        <w:t>odini</w:t>
      </w:r>
      <w:r w:rsidR="002454D1" w:rsidRPr="002A0BEE">
        <w:rPr>
          <w:rFonts w:asciiTheme="majorHAnsi" w:hAnsiTheme="majorHAnsi" w:cstheme="minorHAnsi"/>
          <w:szCs w:val="24"/>
          <w:lang w:val="sr-Latn-CS"/>
        </w:rPr>
        <w:t xml:space="preserve"> i</w:t>
      </w:r>
    </w:p>
    <w:p w:rsidR="002454D1" w:rsidRPr="002A0BEE" w:rsidRDefault="002454D1" w:rsidP="0055031D">
      <w:pPr>
        <w:pStyle w:val="ListParagraph"/>
        <w:numPr>
          <w:ilvl w:val="0"/>
          <w:numId w:val="26"/>
        </w:numPr>
        <w:spacing w:after="0"/>
        <w:jc w:val="both"/>
        <w:rPr>
          <w:rFonts w:asciiTheme="majorHAnsi" w:hAnsiTheme="majorHAnsi" w:cstheme="minorHAnsi"/>
          <w:b/>
          <w:szCs w:val="24"/>
          <w:lang w:val="sr-Latn-CS"/>
        </w:rPr>
      </w:pPr>
      <w:r w:rsidRPr="002A0BEE">
        <w:rPr>
          <w:rFonts w:asciiTheme="majorHAnsi" w:eastAsia="Times New Roman" w:hAnsiTheme="majorHAnsi" w:cstheme="minorHAnsi"/>
          <w:szCs w:val="24"/>
          <w:lang w:val="sr-Latn-CS"/>
        </w:rPr>
        <w:t>Prosječno ostvarene prodajne cijene jedinice proizvoda u 2014. godini (akt Zavoda za statistiku, broj: 12-373/2 od 16.02.2015. godine</w:t>
      </w:r>
      <w:r w:rsidR="00C16CF4" w:rsidRPr="002A0BEE">
        <w:rPr>
          <w:rFonts w:asciiTheme="majorHAnsi" w:eastAsia="Times New Roman" w:hAnsiTheme="majorHAnsi" w:cstheme="minorHAnsi"/>
          <w:szCs w:val="24"/>
          <w:lang w:val="sr-Latn-CS"/>
        </w:rPr>
        <w:t>).</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rPr>
          <w:rFonts w:asciiTheme="majorHAnsi" w:hAnsiTheme="majorHAnsi" w:cstheme="minorHAnsi"/>
          <w:b/>
          <w:szCs w:val="24"/>
          <w:lang w:val="sr-Latn-CS"/>
        </w:rPr>
      </w:pPr>
      <w:r w:rsidRPr="002A0BEE">
        <w:rPr>
          <w:rFonts w:asciiTheme="majorHAnsi" w:hAnsiTheme="majorHAnsi" w:cstheme="minorHAnsi"/>
          <w:b/>
          <w:szCs w:val="24"/>
          <w:lang w:val="sr-Latn-CS"/>
        </w:rPr>
        <w:t>Zakonski propisi korišćeni pri izradi Koncesionog akta:</w:t>
      </w:r>
    </w:p>
    <w:p w:rsidR="009248F4" w:rsidRPr="002A0BEE" w:rsidRDefault="009248F4" w:rsidP="002E447F">
      <w:pPr>
        <w:spacing w:after="0"/>
        <w:rPr>
          <w:rFonts w:asciiTheme="majorHAnsi" w:hAnsiTheme="majorHAnsi" w:cstheme="minorHAnsi"/>
          <w:b/>
          <w:szCs w:val="24"/>
          <w:lang w:val="sr-Latn-CS"/>
        </w:rPr>
      </w:pPr>
    </w:p>
    <w:p w:rsidR="009248F4" w:rsidRPr="002A0BEE" w:rsidRDefault="009248F4" w:rsidP="0055031D">
      <w:pPr>
        <w:pStyle w:val="ListParagraph"/>
        <w:numPr>
          <w:ilvl w:val="0"/>
          <w:numId w:val="27"/>
        </w:numPr>
        <w:spacing w:after="0"/>
        <w:rPr>
          <w:rFonts w:asciiTheme="majorHAnsi" w:hAnsiTheme="majorHAnsi" w:cstheme="minorHAnsi"/>
          <w:szCs w:val="24"/>
          <w:lang w:val="sr-Latn-CS"/>
        </w:rPr>
      </w:pPr>
      <w:r w:rsidRPr="002A0BEE">
        <w:rPr>
          <w:rFonts w:asciiTheme="majorHAnsi" w:hAnsiTheme="majorHAnsi" w:cstheme="minorHAnsi"/>
          <w:szCs w:val="24"/>
          <w:lang w:val="sr-Latn-CS"/>
        </w:rPr>
        <w:t>Zakon o koncesijama („Sl. list CG“, br. 08/09);</w:t>
      </w:r>
    </w:p>
    <w:p w:rsidR="009248F4" w:rsidRPr="002A0BEE" w:rsidRDefault="009248F4" w:rsidP="0055031D">
      <w:pPr>
        <w:pStyle w:val="ListParagraph"/>
        <w:numPr>
          <w:ilvl w:val="0"/>
          <w:numId w:val="27"/>
        </w:numPr>
        <w:spacing w:after="0"/>
        <w:rPr>
          <w:rFonts w:asciiTheme="majorHAnsi" w:hAnsiTheme="majorHAnsi" w:cstheme="minorHAnsi"/>
          <w:szCs w:val="24"/>
          <w:lang w:val="sr-Latn-CS"/>
        </w:rPr>
      </w:pPr>
      <w:r w:rsidRPr="002A0BEE">
        <w:rPr>
          <w:rFonts w:asciiTheme="majorHAnsi" w:hAnsiTheme="majorHAnsi" w:cstheme="minorHAnsi"/>
          <w:szCs w:val="24"/>
          <w:lang w:val="sr-Latn-CS"/>
        </w:rPr>
        <w:t>Zakon o rudarstvu („Sl. list CG“, br. 65/08, 74/10 i 40/11);</w:t>
      </w:r>
    </w:p>
    <w:p w:rsidR="009248F4" w:rsidRPr="002A0BEE" w:rsidRDefault="009248F4" w:rsidP="0055031D">
      <w:pPr>
        <w:pStyle w:val="ListParagraph"/>
        <w:numPr>
          <w:ilvl w:val="0"/>
          <w:numId w:val="27"/>
        </w:numPr>
        <w:spacing w:after="0"/>
        <w:rPr>
          <w:rFonts w:asciiTheme="majorHAnsi" w:hAnsiTheme="majorHAnsi" w:cstheme="minorHAnsi"/>
          <w:szCs w:val="24"/>
          <w:lang w:val="sr-Latn-CS"/>
        </w:rPr>
      </w:pPr>
      <w:r w:rsidRPr="002A0BEE">
        <w:rPr>
          <w:rFonts w:asciiTheme="majorHAnsi" w:hAnsiTheme="majorHAnsi" w:cstheme="minorHAnsi"/>
          <w:szCs w:val="24"/>
          <w:lang w:val="sr-Latn-CS"/>
        </w:rPr>
        <w:t>Zakon o geološkim istraživanjima (‘’Sl. list RCG’’, br. 28/93, 27/94, 42/94 i 26/07 i „Sl. list CG“, br. 28/11);</w:t>
      </w:r>
    </w:p>
    <w:p w:rsidR="009248F4" w:rsidRPr="002A0BEE" w:rsidRDefault="009248F4" w:rsidP="0055031D">
      <w:pPr>
        <w:pStyle w:val="ListParagraph"/>
        <w:numPr>
          <w:ilvl w:val="0"/>
          <w:numId w:val="27"/>
        </w:numPr>
        <w:spacing w:after="0"/>
        <w:rPr>
          <w:rFonts w:asciiTheme="majorHAnsi" w:hAnsiTheme="majorHAnsi" w:cstheme="minorHAnsi"/>
          <w:szCs w:val="24"/>
          <w:lang w:val="sr-Latn-CS"/>
        </w:rPr>
      </w:pPr>
      <w:r w:rsidRPr="002A0BEE">
        <w:rPr>
          <w:rFonts w:asciiTheme="majorHAnsi" w:hAnsiTheme="majorHAnsi" w:cstheme="minorHAnsi"/>
          <w:szCs w:val="24"/>
          <w:lang w:val="sr-Latn-CS"/>
        </w:rPr>
        <w:t>Zakon o procjeni uticaja na životnu sredinu („Sl. list RCG“, br. 80/05 i „Sl. list CG“, br. 40/10, 73/10, 40/11 i 27/13);</w:t>
      </w:r>
    </w:p>
    <w:p w:rsidR="009248F4" w:rsidRPr="002A0BEE" w:rsidRDefault="009248F4" w:rsidP="0055031D">
      <w:pPr>
        <w:pStyle w:val="ListParagraph"/>
        <w:numPr>
          <w:ilvl w:val="0"/>
          <w:numId w:val="27"/>
        </w:numPr>
        <w:spacing w:after="0"/>
        <w:rPr>
          <w:rFonts w:asciiTheme="majorHAnsi" w:hAnsiTheme="majorHAnsi" w:cstheme="minorHAnsi"/>
          <w:szCs w:val="24"/>
          <w:lang w:val="sr-Latn-CS"/>
        </w:rPr>
      </w:pPr>
      <w:r w:rsidRPr="002A0BEE">
        <w:rPr>
          <w:rFonts w:asciiTheme="majorHAnsi" w:hAnsiTheme="majorHAnsi" w:cstheme="minorHAnsi"/>
          <w:szCs w:val="24"/>
          <w:lang w:val="sr-Latn-CS"/>
        </w:rPr>
        <w:t>Uredba o kriterijumima i načinu obračuna iznosa minimalne koncesione naknade za ustupanje prava na istraživanje i eksploataciju mineralnih sirovina („Sl. list CG“, br. 37/11);</w:t>
      </w:r>
    </w:p>
    <w:p w:rsidR="009248F4" w:rsidRDefault="009248F4" w:rsidP="0055031D">
      <w:pPr>
        <w:pStyle w:val="ListParagraph"/>
        <w:numPr>
          <w:ilvl w:val="0"/>
          <w:numId w:val="27"/>
        </w:numPr>
        <w:spacing w:after="0"/>
        <w:rPr>
          <w:rFonts w:asciiTheme="majorHAnsi" w:hAnsiTheme="majorHAnsi" w:cstheme="minorHAnsi"/>
          <w:szCs w:val="24"/>
          <w:lang w:val="sr-Latn-CS"/>
        </w:rPr>
      </w:pPr>
      <w:r w:rsidRPr="002A0BEE">
        <w:rPr>
          <w:rFonts w:asciiTheme="majorHAnsi" w:hAnsiTheme="majorHAnsi" w:cstheme="minorHAnsi"/>
          <w:szCs w:val="24"/>
          <w:lang w:val="sr-Latn-CS"/>
        </w:rPr>
        <w:t xml:space="preserve">Uredba o visini sredstava za sanaciju i rekultivaciju prostora na kojem se izvode rudarski radovi, načinu obračunavanja, plaćanja i korišćenja tih sredstava („Sl. </w:t>
      </w:r>
      <w:r w:rsidR="002A0BEE">
        <w:rPr>
          <w:rFonts w:asciiTheme="majorHAnsi" w:hAnsiTheme="majorHAnsi" w:cstheme="minorHAnsi"/>
          <w:szCs w:val="24"/>
          <w:lang w:val="sr-Latn-CS"/>
        </w:rPr>
        <w:t>list CG“, br. 51/11);</w:t>
      </w:r>
    </w:p>
    <w:p w:rsidR="002A0BEE" w:rsidRPr="002A0BEE" w:rsidRDefault="002A0BEE" w:rsidP="0055031D">
      <w:pPr>
        <w:pStyle w:val="ListParagraph"/>
        <w:numPr>
          <w:ilvl w:val="0"/>
          <w:numId w:val="27"/>
        </w:numPr>
        <w:spacing w:after="0"/>
        <w:rPr>
          <w:rFonts w:asciiTheme="majorHAnsi" w:hAnsiTheme="majorHAnsi" w:cstheme="minorHAnsi"/>
          <w:szCs w:val="24"/>
          <w:lang w:val="sr-Latn-CS"/>
        </w:rPr>
      </w:pPr>
      <w:r>
        <w:rPr>
          <w:rFonts w:asciiTheme="majorHAnsi" w:hAnsiTheme="majorHAnsi" w:cstheme="minorHAnsi"/>
          <w:szCs w:val="24"/>
          <w:lang w:val="sr-Latn-CS"/>
        </w:rPr>
        <w:t>drugi propisi</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Mjesto i vrijeme izrade Koncesionog akta:</w:t>
      </w:r>
    </w:p>
    <w:p w:rsidR="009248F4" w:rsidRPr="002A0BEE" w:rsidRDefault="009248F4" w:rsidP="002E447F">
      <w:pPr>
        <w:spacing w:after="0"/>
        <w:jc w:val="both"/>
        <w:rPr>
          <w:rFonts w:asciiTheme="majorHAnsi" w:hAnsiTheme="majorHAnsi" w:cstheme="minorHAnsi"/>
          <w:b/>
          <w:szCs w:val="24"/>
          <w:lang w:val="sr-Latn-CS"/>
        </w:rPr>
      </w:pPr>
    </w:p>
    <w:p w:rsidR="009248F4" w:rsidRPr="002A0BEE" w:rsidRDefault="009F3173"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Podgorica, oktobar 2015</w:t>
      </w:r>
      <w:r w:rsidR="009248F4" w:rsidRPr="002A0BEE">
        <w:rPr>
          <w:rFonts w:asciiTheme="majorHAnsi" w:hAnsiTheme="majorHAnsi" w:cstheme="minorHAnsi"/>
          <w:szCs w:val="24"/>
          <w:lang w:val="sr-Latn-CS"/>
        </w:rPr>
        <w:t>. godine</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szCs w:val="24"/>
          <w:lang w:val="sr-Latn-CS"/>
        </w:rPr>
      </w:pPr>
    </w:p>
    <w:p w:rsidR="007A54F3" w:rsidRPr="002A0BEE" w:rsidRDefault="007A54F3" w:rsidP="002E447F">
      <w:pPr>
        <w:spacing w:after="0"/>
        <w:jc w:val="both"/>
        <w:rPr>
          <w:rFonts w:asciiTheme="majorHAnsi" w:hAnsiTheme="majorHAnsi" w:cstheme="minorHAnsi"/>
          <w:szCs w:val="24"/>
          <w:lang w:val="sr-Latn-CS"/>
        </w:rPr>
      </w:pP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2E447F">
      <w:pPr>
        <w:spacing w:after="0"/>
        <w:rPr>
          <w:rFonts w:asciiTheme="majorHAnsi" w:hAnsiTheme="majorHAnsi" w:cstheme="minorHAnsi"/>
          <w:szCs w:val="24"/>
          <w:lang w:val="sr-Latn-CS"/>
        </w:rPr>
      </w:pPr>
    </w:p>
    <w:sdt>
      <w:sdtPr>
        <w:rPr>
          <w:rFonts w:eastAsiaTheme="minorEastAsia" w:cstheme="minorBidi"/>
          <w:b w:val="0"/>
          <w:bCs w:val="0"/>
          <w:sz w:val="24"/>
          <w:szCs w:val="22"/>
        </w:rPr>
        <w:id w:val="268842"/>
        <w:docPartObj>
          <w:docPartGallery w:val="Table of Contents"/>
          <w:docPartUnique/>
        </w:docPartObj>
      </w:sdtPr>
      <w:sdtContent>
        <w:p w:rsidR="002A0BEE" w:rsidRDefault="002A0BEE">
          <w:pPr>
            <w:pStyle w:val="TOCHeading"/>
          </w:pPr>
          <w:r>
            <w:t>Contents</w:t>
          </w:r>
        </w:p>
        <w:p w:rsidR="0021277B" w:rsidRDefault="008B7E4F">
          <w:pPr>
            <w:pStyle w:val="TOC1"/>
            <w:rPr>
              <w:rFonts w:asciiTheme="minorHAnsi" w:hAnsiTheme="minorHAnsi"/>
              <w:noProof/>
              <w:sz w:val="22"/>
              <w:szCs w:val="22"/>
            </w:rPr>
          </w:pPr>
          <w:r w:rsidRPr="008B7E4F">
            <w:fldChar w:fldCharType="begin"/>
          </w:r>
          <w:r w:rsidR="002A0BEE">
            <w:instrText xml:space="preserve"> TOC \o "1-3" \h \z \u </w:instrText>
          </w:r>
          <w:r w:rsidRPr="008B7E4F">
            <w:fldChar w:fldCharType="separate"/>
          </w:r>
          <w:hyperlink w:anchor="_Toc436124867" w:history="1">
            <w:r w:rsidR="0021277B" w:rsidRPr="00453739">
              <w:rPr>
                <w:rStyle w:val="Hyperlink"/>
                <w:rFonts w:cstheme="minorHAnsi"/>
                <w:noProof/>
                <w:lang w:val="sr-Latn-CS"/>
              </w:rPr>
              <w:t>1.</w:t>
            </w:r>
            <w:r w:rsidR="0021277B">
              <w:rPr>
                <w:rFonts w:asciiTheme="minorHAnsi" w:hAnsiTheme="minorHAnsi"/>
                <w:noProof/>
                <w:sz w:val="22"/>
                <w:szCs w:val="22"/>
              </w:rPr>
              <w:tab/>
            </w:r>
            <w:r w:rsidR="0021277B" w:rsidRPr="00453739">
              <w:rPr>
                <w:rStyle w:val="Hyperlink"/>
                <w:rFonts w:cstheme="minorHAnsi"/>
                <w:noProof/>
                <w:lang w:val="sr-Latn-CS"/>
              </w:rPr>
              <w:t>Uvod</w:t>
            </w:r>
            <w:r w:rsidR="0021277B">
              <w:rPr>
                <w:noProof/>
                <w:webHidden/>
              </w:rPr>
              <w:tab/>
            </w:r>
            <w:r w:rsidR="0021277B">
              <w:rPr>
                <w:noProof/>
                <w:webHidden/>
              </w:rPr>
              <w:fldChar w:fldCharType="begin"/>
            </w:r>
            <w:r w:rsidR="0021277B">
              <w:rPr>
                <w:noProof/>
                <w:webHidden/>
              </w:rPr>
              <w:instrText xml:space="preserve"> PAGEREF _Toc436124867 \h </w:instrText>
            </w:r>
            <w:r w:rsidR="0021277B">
              <w:rPr>
                <w:noProof/>
                <w:webHidden/>
              </w:rPr>
            </w:r>
            <w:r w:rsidR="0021277B">
              <w:rPr>
                <w:noProof/>
                <w:webHidden/>
              </w:rPr>
              <w:fldChar w:fldCharType="separate"/>
            </w:r>
            <w:r w:rsidR="0021277B">
              <w:rPr>
                <w:noProof/>
                <w:webHidden/>
              </w:rPr>
              <w:t>7</w:t>
            </w:r>
            <w:r w:rsidR="0021277B">
              <w:rPr>
                <w:noProof/>
                <w:webHidden/>
              </w:rPr>
              <w:fldChar w:fldCharType="end"/>
            </w:r>
          </w:hyperlink>
        </w:p>
        <w:p w:rsidR="0021277B" w:rsidRDefault="0021277B">
          <w:pPr>
            <w:pStyle w:val="TOC1"/>
            <w:tabs>
              <w:tab w:val="left" w:pos="900"/>
            </w:tabs>
            <w:rPr>
              <w:rFonts w:asciiTheme="minorHAnsi" w:hAnsiTheme="minorHAnsi"/>
              <w:noProof/>
              <w:sz w:val="22"/>
              <w:szCs w:val="22"/>
            </w:rPr>
          </w:pPr>
          <w:hyperlink w:anchor="_Toc436124868" w:history="1">
            <w:r w:rsidRPr="00453739">
              <w:rPr>
                <w:rStyle w:val="Hyperlink"/>
                <w:rFonts w:cstheme="minorHAnsi"/>
                <w:noProof/>
                <w:lang w:val="sr-Latn-CS"/>
              </w:rPr>
              <w:t>2.</w:t>
            </w:r>
            <w:r>
              <w:rPr>
                <w:rFonts w:asciiTheme="minorHAnsi" w:hAnsiTheme="minorHAnsi"/>
                <w:noProof/>
                <w:sz w:val="22"/>
                <w:szCs w:val="22"/>
              </w:rPr>
              <w:tab/>
            </w:r>
            <w:r w:rsidRPr="00453739">
              <w:rPr>
                <w:rStyle w:val="Hyperlink"/>
                <w:rFonts w:cstheme="minorHAnsi"/>
                <w:noProof/>
                <w:lang w:val="sr-Latn-CS"/>
              </w:rPr>
              <w:t>Tehnički izvještaj o arhitektonsko-građevinskom (ukrasnom) kamenu i tehničko-građevinskom kamenu ležišta „Visočica“</w:t>
            </w:r>
            <w:r>
              <w:rPr>
                <w:noProof/>
                <w:webHidden/>
              </w:rPr>
              <w:tab/>
            </w:r>
            <w:r>
              <w:rPr>
                <w:noProof/>
                <w:webHidden/>
              </w:rPr>
              <w:fldChar w:fldCharType="begin"/>
            </w:r>
            <w:r>
              <w:rPr>
                <w:noProof/>
                <w:webHidden/>
              </w:rPr>
              <w:instrText xml:space="preserve"> PAGEREF _Toc436124868 \h </w:instrText>
            </w:r>
            <w:r>
              <w:rPr>
                <w:noProof/>
                <w:webHidden/>
              </w:rPr>
            </w:r>
            <w:r>
              <w:rPr>
                <w:noProof/>
                <w:webHidden/>
              </w:rPr>
              <w:fldChar w:fldCharType="separate"/>
            </w:r>
            <w:r>
              <w:rPr>
                <w:noProof/>
                <w:webHidden/>
              </w:rPr>
              <w:t>8</w:t>
            </w:r>
            <w:r>
              <w:rPr>
                <w:noProof/>
                <w:webHidden/>
              </w:rPr>
              <w:fldChar w:fldCharType="end"/>
            </w:r>
          </w:hyperlink>
        </w:p>
        <w:p w:rsidR="0021277B" w:rsidRDefault="0021277B">
          <w:pPr>
            <w:pStyle w:val="TOC2"/>
            <w:rPr>
              <w:rFonts w:asciiTheme="minorHAnsi" w:hAnsiTheme="minorHAnsi"/>
              <w:noProof/>
              <w:sz w:val="22"/>
            </w:rPr>
          </w:pPr>
          <w:hyperlink w:anchor="_Toc436124869" w:history="1">
            <w:r w:rsidRPr="00453739">
              <w:rPr>
                <w:rStyle w:val="Hyperlink"/>
                <w:rFonts w:cstheme="minorHAnsi"/>
                <w:noProof/>
                <w:lang w:val="sr-Latn-CS"/>
              </w:rPr>
              <w:t>2.1.</w:t>
            </w:r>
            <w:r>
              <w:rPr>
                <w:rFonts w:asciiTheme="minorHAnsi" w:hAnsiTheme="minorHAnsi"/>
                <w:noProof/>
                <w:sz w:val="22"/>
              </w:rPr>
              <w:tab/>
            </w:r>
            <w:r w:rsidRPr="00453739">
              <w:rPr>
                <w:rStyle w:val="Hyperlink"/>
                <w:rFonts w:cstheme="minorHAnsi"/>
                <w:noProof/>
                <w:lang w:val="sr-Latn-CS"/>
              </w:rPr>
              <w:t>Predmet Koncesionog akta</w:t>
            </w:r>
            <w:r>
              <w:rPr>
                <w:noProof/>
                <w:webHidden/>
              </w:rPr>
              <w:tab/>
            </w:r>
            <w:r>
              <w:rPr>
                <w:noProof/>
                <w:webHidden/>
              </w:rPr>
              <w:fldChar w:fldCharType="begin"/>
            </w:r>
            <w:r>
              <w:rPr>
                <w:noProof/>
                <w:webHidden/>
              </w:rPr>
              <w:instrText xml:space="preserve"> PAGEREF _Toc436124869 \h </w:instrText>
            </w:r>
            <w:r>
              <w:rPr>
                <w:noProof/>
                <w:webHidden/>
              </w:rPr>
            </w:r>
            <w:r>
              <w:rPr>
                <w:noProof/>
                <w:webHidden/>
              </w:rPr>
              <w:fldChar w:fldCharType="separate"/>
            </w:r>
            <w:r>
              <w:rPr>
                <w:noProof/>
                <w:webHidden/>
              </w:rPr>
              <w:t>8</w:t>
            </w:r>
            <w:r>
              <w:rPr>
                <w:noProof/>
                <w:webHidden/>
              </w:rPr>
              <w:fldChar w:fldCharType="end"/>
            </w:r>
          </w:hyperlink>
        </w:p>
        <w:p w:rsidR="0021277B" w:rsidRDefault="0021277B">
          <w:pPr>
            <w:pStyle w:val="TOC2"/>
            <w:rPr>
              <w:rFonts w:asciiTheme="minorHAnsi" w:hAnsiTheme="minorHAnsi"/>
              <w:noProof/>
              <w:sz w:val="22"/>
            </w:rPr>
          </w:pPr>
          <w:hyperlink w:anchor="_Toc436124870" w:history="1">
            <w:r w:rsidRPr="00453739">
              <w:rPr>
                <w:rStyle w:val="Hyperlink"/>
                <w:rFonts w:cstheme="minorHAnsi"/>
                <w:noProof/>
                <w:lang w:val="sr-Latn-CS"/>
              </w:rPr>
              <w:t>2.2.</w:t>
            </w:r>
            <w:r>
              <w:rPr>
                <w:rFonts w:asciiTheme="minorHAnsi" w:hAnsiTheme="minorHAnsi"/>
                <w:noProof/>
                <w:sz w:val="22"/>
              </w:rPr>
              <w:tab/>
            </w:r>
            <w:r w:rsidRPr="00453739">
              <w:rPr>
                <w:rStyle w:val="Hyperlink"/>
                <w:rFonts w:cstheme="minorHAnsi"/>
                <w:noProof/>
                <w:lang w:val="sr-Latn-CS"/>
              </w:rPr>
              <w:t>Položaj i opis lokacije istražno-eksploatacionog prostora</w:t>
            </w:r>
            <w:r>
              <w:rPr>
                <w:noProof/>
                <w:webHidden/>
              </w:rPr>
              <w:tab/>
            </w:r>
            <w:r>
              <w:rPr>
                <w:noProof/>
                <w:webHidden/>
              </w:rPr>
              <w:fldChar w:fldCharType="begin"/>
            </w:r>
            <w:r>
              <w:rPr>
                <w:noProof/>
                <w:webHidden/>
              </w:rPr>
              <w:instrText xml:space="preserve"> PAGEREF _Toc436124870 \h </w:instrText>
            </w:r>
            <w:r>
              <w:rPr>
                <w:noProof/>
                <w:webHidden/>
              </w:rPr>
            </w:r>
            <w:r>
              <w:rPr>
                <w:noProof/>
                <w:webHidden/>
              </w:rPr>
              <w:fldChar w:fldCharType="separate"/>
            </w:r>
            <w:r>
              <w:rPr>
                <w:noProof/>
                <w:webHidden/>
              </w:rPr>
              <w:t>8</w:t>
            </w:r>
            <w:r>
              <w:rPr>
                <w:noProof/>
                <w:webHidden/>
              </w:rPr>
              <w:fldChar w:fldCharType="end"/>
            </w:r>
          </w:hyperlink>
        </w:p>
        <w:p w:rsidR="0021277B" w:rsidRDefault="0021277B">
          <w:pPr>
            <w:pStyle w:val="TOC2"/>
            <w:rPr>
              <w:rFonts w:asciiTheme="minorHAnsi" w:hAnsiTheme="minorHAnsi"/>
              <w:noProof/>
              <w:sz w:val="22"/>
            </w:rPr>
          </w:pPr>
          <w:hyperlink w:anchor="_Toc436124871" w:history="1">
            <w:r w:rsidRPr="00453739">
              <w:rPr>
                <w:rStyle w:val="Hyperlink"/>
                <w:rFonts w:cstheme="minorHAnsi"/>
                <w:noProof/>
                <w:lang w:val="sr-Latn-CS"/>
              </w:rPr>
              <w:t>2.3.</w:t>
            </w:r>
            <w:r>
              <w:rPr>
                <w:rFonts w:asciiTheme="minorHAnsi" w:hAnsiTheme="minorHAnsi"/>
                <w:noProof/>
                <w:sz w:val="22"/>
              </w:rPr>
              <w:tab/>
            </w:r>
            <w:r w:rsidRPr="00453739">
              <w:rPr>
                <w:rStyle w:val="Hyperlink"/>
                <w:rFonts w:cstheme="minorHAnsi"/>
                <w:noProof/>
                <w:lang w:val="sr-Latn-CS"/>
              </w:rPr>
              <w:t>Podaci o imovinsko-pravnim odnosima</w:t>
            </w:r>
            <w:r>
              <w:rPr>
                <w:noProof/>
                <w:webHidden/>
              </w:rPr>
              <w:tab/>
            </w:r>
            <w:r>
              <w:rPr>
                <w:noProof/>
                <w:webHidden/>
              </w:rPr>
              <w:fldChar w:fldCharType="begin"/>
            </w:r>
            <w:r>
              <w:rPr>
                <w:noProof/>
                <w:webHidden/>
              </w:rPr>
              <w:instrText xml:space="preserve"> PAGEREF _Toc436124871 \h </w:instrText>
            </w:r>
            <w:r>
              <w:rPr>
                <w:noProof/>
                <w:webHidden/>
              </w:rPr>
            </w:r>
            <w:r>
              <w:rPr>
                <w:noProof/>
                <w:webHidden/>
              </w:rPr>
              <w:fldChar w:fldCharType="separate"/>
            </w:r>
            <w:r>
              <w:rPr>
                <w:noProof/>
                <w:webHidden/>
              </w:rPr>
              <w:t>9</w:t>
            </w:r>
            <w:r>
              <w:rPr>
                <w:noProof/>
                <w:webHidden/>
              </w:rPr>
              <w:fldChar w:fldCharType="end"/>
            </w:r>
          </w:hyperlink>
        </w:p>
        <w:p w:rsidR="0021277B" w:rsidRDefault="0021277B">
          <w:pPr>
            <w:pStyle w:val="TOC2"/>
            <w:rPr>
              <w:rFonts w:asciiTheme="minorHAnsi" w:hAnsiTheme="minorHAnsi"/>
              <w:noProof/>
              <w:sz w:val="22"/>
            </w:rPr>
          </w:pPr>
          <w:hyperlink w:anchor="_Toc436124872" w:history="1">
            <w:r w:rsidRPr="00453739">
              <w:rPr>
                <w:rStyle w:val="Hyperlink"/>
                <w:rFonts w:eastAsia="Times New Roman" w:cstheme="minorHAnsi"/>
                <w:noProof/>
                <w:lang w:val="sr-Latn-CS"/>
              </w:rPr>
              <w:t>2.4.</w:t>
            </w:r>
            <w:r>
              <w:rPr>
                <w:rFonts w:asciiTheme="minorHAnsi" w:hAnsiTheme="minorHAnsi"/>
                <w:noProof/>
                <w:sz w:val="22"/>
              </w:rPr>
              <w:tab/>
            </w:r>
            <w:r w:rsidRPr="00453739">
              <w:rPr>
                <w:rStyle w:val="Hyperlink"/>
                <w:rFonts w:eastAsia="Times New Roman" w:cstheme="minorHAnsi"/>
                <w:noProof/>
                <w:lang w:val="sr-Latn-CS"/>
              </w:rPr>
              <w:t>Podaci iz prostorno–planske dokumentacije</w:t>
            </w:r>
            <w:r>
              <w:rPr>
                <w:noProof/>
                <w:webHidden/>
              </w:rPr>
              <w:tab/>
            </w:r>
            <w:r>
              <w:rPr>
                <w:noProof/>
                <w:webHidden/>
              </w:rPr>
              <w:fldChar w:fldCharType="begin"/>
            </w:r>
            <w:r>
              <w:rPr>
                <w:noProof/>
                <w:webHidden/>
              </w:rPr>
              <w:instrText xml:space="preserve"> PAGEREF _Toc436124872 \h </w:instrText>
            </w:r>
            <w:r>
              <w:rPr>
                <w:noProof/>
                <w:webHidden/>
              </w:rPr>
            </w:r>
            <w:r>
              <w:rPr>
                <w:noProof/>
                <w:webHidden/>
              </w:rPr>
              <w:fldChar w:fldCharType="separate"/>
            </w:r>
            <w:r>
              <w:rPr>
                <w:noProof/>
                <w:webHidden/>
              </w:rPr>
              <w:t>10</w:t>
            </w:r>
            <w:r>
              <w:rPr>
                <w:noProof/>
                <w:webHidden/>
              </w:rPr>
              <w:fldChar w:fldCharType="end"/>
            </w:r>
          </w:hyperlink>
        </w:p>
        <w:p w:rsidR="0021277B" w:rsidRDefault="0021277B">
          <w:pPr>
            <w:pStyle w:val="TOC2"/>
            <w:rPr>
              <w:rFonts w:asciiTheme="minorHAnsi" w:hAnsiTheme="minorHAnsi"/>
              <w:noProof/>
              <w:sz w:val="22"/>
            </w:rPr>
          </w:pPr>
          <w:hyperlink w:anchor="_Toc436124873" w:history="1">
            <w:r w:rsidRPr="00453739">
              <w:rPr>
                <w:rStyle w:val="Hyperlink"/>
                <w:rFonts w:eastAsia="Times New Roman" w:cstheme="minorHAnsi"/>
                <w:noProof/>
                <w:lang w:val="sr-Latn-CS"/>
              </w:rPr>
              <w:t>2.5.</w:t>
            </w:r>
            <w:r>
              <w:rPr>
                <w:rFonts w:asciiTheme="minorHAnsi" w:hAnsiTheme="minorHAnsi"/>
                <w:noProof/>
                <w:sz w:val="22"/>
              </w:rPr>
              <w:tab/>
            </w:r>
            <w:r w:rsidRPr="00453739">
              <w:rPr>
                <w:rStyle w:val="Hyperlink"/>
                <w:rFonts w:eastAsia="Times New Roman" w:cstheme="minorHAnsi"/>
                <w:noProof/>
                <w:lang w:val="sr-Latn-CS"/>
              </w:rPr>
              <w:t>Infrastrukturni objekti na istražno-eksplatacionom prostoru</w:t>
            </w:r>
            <w:r>
              <w:rPr>
                <w:noProof/>
                <w:webHidden/>
              </w:rPr>
              <w:tab/>
            </w:r>
            <w:r>
              <w:rPr>
                <w:noProof/>
                <w:webHidden/>
              </w:rPr>
              <w:fldChar w:fldCharType="begin"/>
            </w:r>
            <w:r>
              <w:rPr>
                <w:noProof/>
                <w:webHidden/>
              </w:rPr>
              <w:instrText xml:space="preserve"> PAGEREF _Toc436124873 \h </w:instrText>
            </w:r>
            <w:r>
              <w:rPr>
                <w:noProof/>
                <w:webHidden/>
              </w:rPr>
            </w:r>
            <w:r>
              <w:rPr>
                <w:noProof/>
                <w:webHidden/>
              </w:rPr>
              <w:fldChar w:fldCharType="separate"/>
            </w:r>
            <w:r>
              <w:rPr>
                <w:noProof/>
                <w:webHidden/>
              </w:rPr>
              <w:t>10</w:t>
            </w:r>
            <w:r>
              <w:rPr>
                <w:noProof/>
                <w:webHidden/>
              </w:rPr>
              <w:fldChar w:fldCharType="end"/>
            </w:r>
          </w:hyperlink>
        </w:p>
        <w:p w:rsidR="0021277B" w:rsidRDefault="0021277B">
          <w:pPr>
            <w:pStyle w:val="TOC1"/>
            <w:rPr>
              <w:rFonts w:asciiTheme="minorHAnsi" w:hAnsiTheme="minorHAnsi"/>
              <w:noProof/>
              <w:sz w:val="22"/>
              <w:szCs w:val="22"/>
            </w:rPr>
          </w:pPr>
          <w:hyperlink w:anchor="_Toc436124874" w:history="1">
            <w:r w:rsidRPr="00453739">
              <w:rPr>
                <w:rStyle w:val="Hyperlink"/>
                <w:rFonts w:eastAsia="Times New Roman" w:cstheme="minorHAnsi"/>
                <w:noProof/>
                <w:lang w:val="sr-Latn-CS"/>
              </w:rPr>
              <w:t>4.</w:t>
            </w:r>
            <w:r>
              <w:rPr>
                <w:rFonts w:asciiTheme="minorHAnsi" w:hAnsiTheme="minorHAnsi"/>
                <w:noProof/>
                <w:sz w:val="22"/>
                <w:szCs w:val="22"/>
              </w:rPr>
              <w:tab/>
            </w:r>
            <w:r w:rsidRPr="00453739">
              <w:rPr>
                <w:rStyle w:val="Hyperlink"/>
                <w:rFonts w:eastAsia="Times New Roman" w:cstheme="minorHAnsi"/>
                <w:noProof/>
                <w:lang w:val="sr-Latn-CS"/>
              </w:rPr>
              <w:t>O</w:t>
            </w:r>
            <w:r w:rsidRPr="00453739">
              <w:rPr>
                <w:rStyle w:val="Hyperlink"/>
                <w:rFonts w:cstheme="minorHAnsi"/>
                <w:noProof/>
                <w:lang w:val="sr-Latn-CS"/>
              </w:rPr>
              <w:t>snovni parametri za ocjenu ekonomske opravdanosti investicije</w:t>
            </w:r>
            <w:r>
              <w:rPr>
                <w:noProof/>
                <w:webHidden/>
              </w:rPr>
              <w:tab/>
            </w:r>
            <w:r>
              <w:rPr>
                <w:noProof/>
                <w:webHidden/>
              </w:rPr>
              <w:fldChar w:fldCharType="begin"/>
            </w:r>
            <w:r>
              <w:rPr>
                <w:noProof/>
                <w:webHidden/>
              </w:rPr>
              <w:instrText xml:space="preserve"> PAGEREF _Toc436124874 \h </w:instrText>
            </w:r>
            <w:r>
              <w:rPr>
                <w:noProof/>
                <w:webHidden/>
              </w:rPr>
            </w:r>
            <w:r>
              <w:rPr>
                <w:noProof/>
                <w:webHidden/>
              </w:rPr>
              <w:fldChar w:fldCharType="separate"/>
            </w:r>
            <w:r>
              <w:rPr>
                <w:noProof/>
                <w:webHidden/>
              </w:rPr>
              <w:t>16</w:t>
            </w:r>
            <w:r>
              <w:rPr>
                <w:noProof/>
                <w:webHidden/>
              </w:rPr>
              <w:fldChar w:fldCharType="end"/>
            </w:r>
          </w:hyperlink>
        </w:p>
        <w:p w:rsidR="0021277B" w:rsidRDefault="0021277B">
          <w:pPr>
            <w:pStyle w:val="TOC2"/>
            <w:rPr>
              <w:rFonts w:asciiTheme="minorHAnsi" w:hAnsiTheme="minorHAnsi"/>
              <w:noProof/>
              <w:sz w:val="22"/>
            </w:rPr>
          </w:pPr>
          <w:hyperlink w:anchor="_Toc436124875" w:history="1">
            <w:r w:rsidRPr="00453739">
              <w:rPr>
                <w:rStyle w:val="Hyperlink"/>
                <w:rFonts w:eastAsia="Times New Roman" w:cstheme="minorHAnsi"/>
                <w:noProof/>
                <w:lang w:val="sr-Latn-CS"/>
              </w:rPr>
              <w:t>4.1.</w:t>
            </w:r>
            <w:r>
              <w:rPr>
                <w:rFonts w:asciiTheme="minorHAnsi" w:hAnsiTheme="minorHAnsi"/>
                <w:noProof/>
                <w:sz w:val="22"/>
              </w:rPr>
              <w:tab/>
            </w:r>
            <w:r w:rsidRPr="00453739">
              <w:rPr>
                <w:rStyle w:val="Hyperlink"/>
                <w:rFonts w:cstheme="minorHAnsi"/>
                <w:noProof/>
                <w:lang w:val="sr-Latn-CS"/>
              </w:rPr>
              <w:t>Lokacija</w:t>
            </w:r>
            <w:r>
              <w:rPr>
                <w:noProof/>
                <w:webHidden/>
              </w:rPr>
              <w:tab/>
            </w:r>
            <w:r>
              <w:rPr>
                <w:noProof/>
                <w:webHidden/>
              </w:rPr>
              <w:fldChar w:fldCharType="begin"/>
            </w:r>
            <w:r>
              <w:rPr>
                <w:noProof/>
                <w:webHidden/>
              </w:rPr>
              <w:instrText xml:space="preserve"> PAGEREF _Toc436124875 \h </w:instrText>
            </w:r>
            <w:r>
              <w:rPr>
                <w:noProof/>
                <w:webHidden/>
              </w:rPr>
            </w:r>
            <w:r>
              <w:rPr>
                <w:noProof/>
                <w:webHidden/>
              </w:rPr>
              <w:fldChar w:fldCharType="separate"/>
            </w:r>
            <w:r>
              <w:rPr>
                <w:noProof/>
                <w:webHidden/>
              </w:rPr>
              <w:t>16</w:t>
            </w:r>
            <w:r>
              <w:rPr>
                <w:noProof/>
                <w:webHidden/>
              </w:rPr>
              <w:fldChar w:fldCharType="end"/>
            </w:r>
          </w:hyperlink>
        </w:p>
        <w:p w:rsidR="0021277B" w:rsidRDefault="0021277B">
          <w:pPr>
            <w:pStyle w:val="TOC2"/>
            <w:rPr>
              <w:rFonts w:asciiTheme="minorHAnsi" w:hAnsiTheme="minorHAnsi"/>
              <w:noProof/>
              <w:sz w:val="22"/>
            </w:rPr>
          </w:pPr>
          <w:hyperlink w:anchor="_Toc436124876" w:history="1">
            <w:r w:rsidRPr="00453739">
              <w:rPr>
                <w:rStyle w:val="Hyperlink"/>
                <w:rFonts w:eastAsia="Times New Roman" w:cstheme="minorHAnsi"/>
                <w:noProof/>
                <w:lang w:val="sr-Latn-CS"/>
              </w:rPr>
              <w:t>4.2.</w:t>
            </w:r>
            <w:r>
              <w:rPr>
                <w:rFonts w:asciiTheme="minorHAnsi" w:hAnsiTheme="minorHAnsi"/>
                <w:noProof/>
                <w:sz w:val="22"/>
              </w:rPr>
              <w:tab/>
            </w:r>
            <w:r w:rsidRPr="00453739">
              <w:rPr>
                <w:rStyle w:val="Hyperlink"/>
                <w:rFonts w:eastAsia="Times New Roman" w:cstheme="minorHAnsi"/>
                <w:noProof/>
                <w:lang w:val="sr-Latn-CS"/>
              </w:rPr>
              <w:t>Vrijednost mineralne sirovine</w:t>
            </w:r>
            <w:r>
              <w:rPr>
                <w:noProof/>
                <w:webHidden/>
              </w:rPr>
              <w:tab/>
            </w:r>
            <w:r>
              <w:rPr>
                <w:noProof/>
                <w:webHidden/>
              </w:rPr>
              <w:fldChar w:fldCharType="begin"/>
            </w:r>
            <w:r>
              <w:rPr>
                <w:noProof/>
                <w:webHidden/>
              </w:rPr>
              <w:instrText xml:space="preserve"> PAGEREF _Toc436124876 \h </w:instrText>
            </w:r>
            <w:r>
              <w:rPr>
                <w:noProof/>
                <w:webHidden/>
              </w:rPr>
            </w:r>
            <w:r>
              <w:rPr>
                <w:noProof/>
                <w:webHidden/>
              </w:rPr>
              <w:fldChar w:fldCharType="separate"/>
            </w:r>
            <w:r>
              <w:rPr>
                <w:noProof/>
                <w:webHidden/>
              </w:rPr>
              <w:t>17</w:t>
            </w:r>
            <w:r>
              <w:rPr>
                <w:noProof/>
                <w:webHidden/>
              </w:rPr>
              <w:fldChar w:fldCharType="end"/>
            </w:r>
          </w:hyperlink>
        </w:p>
        <w:p w:rsidR="0021277B" w:rsidRDefault="0021277B">
          <w:pPr>
            <w:pStyle w:val="TOC2"/>
            <w:rPr>
              <w:rFonts w:asciiTheme="minorHAnsi" w:hAnsiTheme="minorHAnsi"/>
              <w:noProof/>
              <w:sz w:val="22"/>
            </w:rPr>
          </w:pPr>
          <w:hyperlink w:anchor="_Toc436124877" w:history="1">
            <w:r w:rsidRPr="00453739">
              <w:rPr>
                <w:rStyle w:val="Hyperlink"/>
                <w:rFonts w:eastAsia="Times New Roman" w:cstheme="minorHAnsi"/>
                <w:noProof/>
                <w:lang w:val="sr-Latn-CS"/>
              </w:rPr>
              <w:t>4.4.</w:t>
            </w:r>
            <w:r>
              <w:rPr>
                <w:rFonts w:asciiTheme="minorHAnsi" w:hAnsiTheme="minorHAnsi"/>
                <w:noProof/>
                <w:sz w:val="22"/>
              </w:rPr>
              <w:tab/>
            </w:r>
            <w:r w:rsidRPr="00453739">
              <w:rPr>
                <w:rStyle w:val="Hyperlink"/>
                <w:rFonts w:eastAsia="Times New Roman" w:cstheme="minorHAnsi"/>
                <w:noProof/>
                <w:lang w:val="sr-Latn-CS"/>
              </w:rPr>
              <w:t>Opis tehničko-tehnološkog procesa eksploatacije</w:t>
            </w:r>
            <w:r>
              <w:rPr>
                <w:noProof/>
                <w:webHidden/>
              </w:rPr>
              <w:tab/>
            </w:r>
            <w:r>
              <w:rPr>
                <w:noProof/>
                <w:webHidden/>
              </w:rPr>
              <w:fldChar w:fldCharType="begin"/>
            </w:r>
            <w:r>
              <w:rPr>
                <w:noProof/>
                <w:webHidden/>
              </w:rPr>
              <w:instrText xml:space="preserve"> PAGEREF _Toc436124877 \h </w:instrText>
            </w:r>
            <w:r>
              <w:rPr>
                <w:noProof/>
                <w:webHidden/>
              </w:rPr>
            </w:r>
            <w:r>
              <w:rPr>
                <w:noProof/>
                <w:webHidden/>
              </w:rPr>
              <w:fldChar w:fldCharType="separate"/>
            </w:r>
            <w:r>
              <w:rPr>
                <w:noProof/>
                <w:webHidden/>
              </w:rPr>
              <w:t>18</w:t>
            </w:r>
            <w:r>
              <w:rPr>
                <w:noProof/>
                <w:webHidden/>
              </w:rPr>
              <w:fldChar w:fldCharType="end"/>
            </w:r>
          </w:hyperlink>
        </w:p>
        <w:p w:rsidR="0021277B" w:rsidRDefault="0021277B">
          <w:pPr>
            <w:pStyle w:val="TOC2"/>
            <w:rPr>
              <w:rFonts w:asciiTheme="minorHAnsi" w:hAnsiTheme="minorHAnsi"/>
              <w:noProof/>
              <w:sz w:val="22"/>
            </w:rPr>
          </w:pPr>
          <w:hyperlink w:anchor="_Toc436124878" w:history="1">
            <w:r w:rsidRPr="00453739">
              <w:rPr>
                <w:rStyle w:val="Hyperlink"/>
                <w:rFonts w:eastAsia="Times New Roman" w:cstheme="minorHAnsi"/>
                <w:noProof/>
                <w:lang w:val="sr-Latn-CS"/>
              </w:rPr>
              <w:t>4.6.</w:t>
            </w:r>
            <w:r>
              <w:rPr>
                <w:rFonts w:asciiTheme="minorHAnsi" w:hAnsiTheme="minorHAnsi"/>
                <w:noProof/>
                <w:sz w:val="22"/>
              </w:rPr>
              <w:tab/>
            </w:r>
            <w:r w:rsidRPr="00453739">
              <w:rPr>
                <w:rStyle w:val="Hyperlink"/>
                <w:rFonts w:eastAsia="Times New Roman" w:cstheme="minorHAnsi"/>
                <w:noProof/>
                <w:lang w:val="sr-Latn-CS"/>
              </w:rPr>
              <w:t>Iznos koncesione naknade</w:t>
            </w:r>
            <w:r>
              <w:rPr>
                <w:noProof/>
                <w:webHidden/>
              </w:rPr>
              <w:tab/>
            </w:r>
            <w:r>
              <w:rPr>
                <w:noProof/>
                <w:webHidden/>
              </w:rPr>
              <w:fldChar w:fldCharType="begin"/>
            </w:r>
            <w:r>
              <w:rPr>
                <w:noProof/>
                <w:webHidden/>
              </w:rPr>
              <w:instrText xml:space="preserve"> PAGEREF _Toc436124878 \h </w:instrText>
            </w:r>
            <w:r>
              <w:rPr>
                <w:noProof/>
                <w:webHidden/>
              </w:rPr>
            </w:r>
            <w:r>
              <w:rPr>
                <w:noProof/>
                <w:webHidden/>
              </w:rPr>
              <w:fldChar w:fldCharType="separate"/>
            </w:r>
            <w:r>
              <w:rPr>
                <w:noProof/>
                <w:webHidden/>
              </w:rPr>
              <w:t>20</w:t>
            </w:r>
            <w:r>
              <w:rPr>
                <w:noProof/>
                <w:webHidden/>
              </w:rPr>
              <w:fldChar w:fldCharType="end"/>
            </w:r>
          </w:hyperlink>
        </w:p>
        <w:p w:rsidR="0021277B" w:rsidRDefault="0021277B">
          <w:pPr>
            <w:pStyle w:val="TOC1"/>
            <w:rPr>
              <w:rFonts w:asciiTheme="minorHAnsi" w:hAnsiTheme="minorHAnsi"/>
              <w:noProof/>
              <w:sz w:val="22"/>
              <w:szCs w:val="22"/>
            </w:rPr>
          </w:pPr>
          <w:hyperlink w:anchor="_Toc436124879" w:history="1">
            <w:r w:rsidRPr="00453739">
              <w:rPr>
                <w:rStyle w:val="Hyperlink"/>
                <w:rFonts w:eastAsia="Times New Roman" w:cstheme="minorHAnsi"/>
                <w:noProof/>
                <w:lang w:val="sr-Latn-CS"/>
              </w:rPr>
              <w:t>5.</w:t>
            </w:r>
            <w:r>
              <w:rPr>
                <w:rFonts w:asciiTheme="minorHAnsi" w:hAnsiTheme="minorHAnsi"/>
                <w:noProof/>
                <w:sz w:val="22"/>
                <w:szCs w:val="22"/>
              </w:rPr>
              <w:tab/>
            </w:r>
            <w:r w:rsidRPr="00453739">
              <w:rPr>
                <w:rStyle w:val="Hyperlink"/>
                <w:rFonts w:eastAsia="Times New Roman" w:cstheme="minorHAnsi"/>
                <w:noProof/>
                <w:lang w:val="sr-Latn-CS"/>
              </w:rPr>
              <w:t>Mjere za zaštitu životne sredine</w:t>
            </w:r>
            <w:r>
              <w:rPr>
                <w:noProof/>
                <w:webHidden/>
              </w:rPr>
              <w:tab/>
            </w:r>
            <w:r>
              <w:rPr>
                <w:noProof/>
                <w:webHidden/>
              </w:rPr>
              <w:fldChar w:fldCharType="begin"/>
            </w:r>
            <w:r>
              <w:rPr>
                <w:noProof/>
                <w:webHidden/>
              </w:rPr>
              <w:instrText xml:space="preserve"> PAGEREF _Toc436124879 \h </w:instrText>
            </w:r>
            <w:r>
              <w:rPr>
                <w:noProof/>
                <w:webHidden/>
              </w:rPr>
            </w:r>
            <w:r>
              <w:rPr>
                <w:noProof/>
                <w:webHidden/>
              </w:rPr>
              <w:fldChar w:fldCharType="separate"/>
            </w:r>
            <w:r>
              <w:rPr>
                <w:noProof/>
                <w:webHidden/>
              </w:rPr>
              <w:t>23</w:t>
            </w:r>
            <w:r>
              <w:rPr>
                <w:noProof/>
                <w:webHidden/>
              </w:rPr>
              <w:fldChar w:fldCharType="end"/>
            </w:r>
          </w:hyperlink>
        </w:p>
        <w:p w:rsidR="0021277B" w:rsidRDefault="0021277B">
          <w:pPr>
            <w:pStyle w:val="TOC1"/>
            <w:rPr>
              <w:rFonts w:asciiTheme="minorHAnsi" w:hAnsiTheme="minorHAnsi"/>
              <w:noProof/>
              <w:sz w:val="22"/>
              <w:szCs w:val="22"/>
            </w:rPr>
          </w:pPr>
          <w:hyperlink w:anchor="_Toc436124880" w:history="1">
            <w:r w:rsidRPr="00453739">
              <w:rPr>
                <w:rStyle w:val="Hyperlink"/>
                <w:rFonts w:cstheme="minorHAnsi"/>
                <w:noProof/>
                <w:lang w:val="sr-Latn-CS"/>
              </w:rPr>
              <w:t>6.</w:t>
            </w:r>
            <w:r>
              <w:rPr>
                <w:rFonts w:asciiTheme="minorHAnsi" w:hAnsiTheme="minorHAnsi"/>
                <w:noProof/>
                <w:sz w:val="22"/>
                <w:szCs w:val="22"/>
              </w:rPr>
              <w:tab/>
            </w:r>
            <w:r w:rsidRPr="00453739">
              <w:rPr>
                <w:rStyle w:val="Hyperlink"/>
                <w:rFonts w:cstheme="minorHAnsi"/>
                <w:noProof/>
                <w:lang w:val="sr-Latn-CS"/>
              </w:rPr>
              <w:t>Rekultivacija istražno-eksploatacionog prostora “Visočica”</w:t>
            </w:r>
            <w:r>
              <w:rPr>
                <w:noProof/>
                <w:webHidden/>
              </w:rPr>
              <w:tab/>
            </w:r>
            <w:r>
              <w:rPr>
                <w:noProof/>
                <w:webHidden/>
              </w:rPr>
              <w:fldChar w:fldCharType="begin"/>
            </w:r>
            <w:r>
              <w:rPr>
                <w:noProof/>
                <w:webHidden/>
              </w:rPr>
              <w:instrText xml:space="preserve"> PAGEREF _Toc436124880 \h </w:instrText>
            </w:r>
            <w:r>
              <w:rPr>
                <w:noProof/>
                <w:webHidden/>
              </w:rPr>
            </w:r>
            <w:r>
              <w:rPr>
                <w:noProof/>
                <w:webHidden/>
              </w:rPr>
              <w:fldChar w:fldCharType="separate"/>
            </w:r>
            <w:r>
              <w:rPr>
                <w:noProof/>
                <w:webHidden/>
              </w:rPr>
              <w:t>23</w:t>
            </w:r>
            <w:r>
              <w:rPr>
                <w:noProof/>
                <w:webHidden/>
              </w:rPr>
              <w:fldChar w:fldCharType="end"/>
            </w:r>
          </w:hyperlink>
        </w:p>
        <w:p w:rsidR="0021277B" w:rsidRDefault="0021277B">
          <w:pPr>
            <w:pStyle w:val="TOC2"/>
            <w:rPr>
              <w:rFonts w:asciiTheme="minorHAnsi" w:hAnsiTheme="minorHAnsi"/>
              <w:noProof/>
              <w:sz w:val="22"/>
            </w:rPr>
          </w:pPr>
          <w:hyperlink w:anchor="_Toc436124881" w:history="1">
            <w:r w:rsidRPr="00453739">
              <w:rPr>
                <w:rStyle w:val="Hyperlink"/>
                <w:rFonts w:cstheme="minorHAnsi"/>
                <w:noProof/>
                <w:lang w:val="sr-Latn-CS"/>
              </w:rPr>
              <w:t>6.1.</w:t>
            </w:r>
            <w:r>
              <w:rPr>
                <w:rFonts w:asciiTheme="minorHAnsi" w:hAnsiTheme="minorHAnsi"/>
                <w:noProof/>
                <w:sz w:val="22"/>
              </w:rPr>
              <w:tab/>
            </w:r>
            <w:r w:rsidRPr="00453739">
              <w:rPr>
                <w:rStyle w:val="Hyperlink"/>
                <w:rFonts w:cstheme="minorHAnsi"/>
                <w:noProof/>
                <w:lang w:val="sr-Latn-CS"/>
              </w:rPr>
              <w:t>Zaključak</w:t>
            </w:r>
            <w:r>
              <w:rPr>
                <w:noProof/>
                <w:webHidden/>
              </w:rPr>
              <w:tab/>
            </w:r>
            <w:r>
              <w:rPr>
                <w:noProof/>
                <w:webHidden/>
              </w:rPr>
              <w:fldChar w:fldCharType="begin"/>
            </w:r>
            <w:r>
              <w:rPr>
                <w:noProof/>
                <w:webHidden/>
              </w:rPr>
              <w:instrText xml:space="preserve"> PAGEREF _Toc436124881 \h </w:instrText>
            </w:r>
            <w:r>
              <w:rPr>
                <w:noProof/>
                <w:webHidden/>
              </w:rPr>
            </w:r>
            <w:r>
              <w:rPr>
                <w:noProof/>
                <w:webHidden/>
              </w:rPr>
              <w:fldChar w:fldCharType="separate"/>
            </w:r>
            <w:r>
              <w:rPr>
                <w:noProof/>
                <w:webHidden/>
              </w:rPr>
              <w:t>25</w:t>
            </w:r>
            <w:r>
              <w:rPr>
                <w:noProof/>
                <w:webHidden/>
              </w:rPr>
              <w:fldChar w:fldCharType="end"/>
            </w:r>
          </w:hyperlink>
        </w:p>
        <w:p w:rsidR="0021277B" w:rsidRDefault="0021277B">
          <w:pPr>
            <w:pStyle w:val="TOC1"/>
            <w:rPr>
              <w:rFonts w:asciiTheme="minorHAnsi" w:hAnsiTheme="minorHAnsi"/>
              <w:noProof/>
              <w:sz w:val="22"/>
              <w:szCs w:val="22"/>
            </w:rPr>
          </w:pPr>
          <w:hyperlink w:anchor="_Toc436124882" w:history="1">
            <w:r w:rsidRPr="00453739">
              <w:rPr>
                <w:rStyle w:val="Hyperlink"/>
                <w:rFonts w:cstheme="minorHAnsi"/>
                <w:noProof/>
                <w:lang w:val="sr-Latn-CS"/>
              </w:rPr>
              <w:t>7.</w:t>
            </w:r>
            <w:r>
              <w:rPr>
                <w:rFonts w:asciiTheme="minorHAnsi" w:hAnsiTheme="minorHAnsi"/>
                <w:noProof/>
                <w:sz w:val="22"/>
                <w:szCs w:val="22"/>
              </w:rPr>
              <w:tab/>
            </w:r>
            <w:r w:rsidRPr="00453739">
              <w:rPr>
                <w:rStyle w:val="Hyperlink"/>
                <w:rFonts w:cstheme="minorHAnsi"/>
                <w:noProof/>
                <w:lang w:val="sr-Latn-CS"/>
              </w:rPr>
              <w:t>Unaprjeđenje energetske efikasnosti</w:t>
            </w:r>
            <w:r>
              <w:rPr>
                <w:noProof/>
                <w:webHidden/>
              </w:rPr>
              <w:tab/>
            </w:r>
            <w:r>
              <w:rPr>
                <w:noProof/>
                <w:webHidden/>
              </w:rPr>
              <w:fldChar w:fldCharType="begin"/>
            </w:r>
            <w:r>
              <w:rPr>
                <w:noProof/>
                <w:webHidden/>
              </w:rPr>
              <w:instrText xml:space="preserve"> PAGEREF _Toc436124882 \h </w:instrText>
            </w:r>
            <w:r>
              <w:rPr>
                <w:noProof/>
                <w:webHidden/>
              </w:rPr>
            </w:r>
            <w:r>
              <w:rPr>
                <w:noProof/>
                <w:webHidden/>
              </w:rPr>
              <w:fldChar w:fldCharType="separate"/>
            </w:r>
            <w:r>
              <w:rPr>
                <w:noProof/>
                <w:webHidden/>
              </w:rPr>
              <w:t>25</w:t>
            </w:r>
            <w:r>
              <w:rPr>
                <w:noProof/>
                <w:webHidden/>
              </w:rPr>
              <w:fldChar w:fldCharType="end"/>
            </w:r>
          </w:hyperlink>
        </w:p>
        <w:p w:rsidR="0021277B" w:rsidRDefault="0021277B">
          <w:pPr>
            <w:pStyle w:val="TOC1"/>
            <w:tabs>
              <w:tab w:val="left" w:pos="1100"/>
            </w:tabs>
            <w:rPr>
              <w:rFonts w:asciiTheme="minorHAnsi" w:hAnsiTheme="minorHAnsi"/>
              <w:noProof/>
              <w:sz w:val="22"/>
              <w:szCs w:val="22"/>
            </w:rPr>
          </w:pPr>
          <w:hyperlink w:anchor="_Toc436124883" w:history="1">
            <w:r w:rsidRPr="00453739">
              <w:rPr>
                <w:rStyle w:val="Hyperlink"/>
                <w:rFonts w:cstheme="minorHAnsi"/>
                <w:noProof/>
                <w:lang w:val="sr-Latn-CS"/>
              </w:rPr>
              <w:t>8.</w:t>
            </w:r>
            <w:r>
              <w:rPr>
                <w:rFonts w:asciiTheme="minorHAnsi" w:hAnsiTheme="minorHAnsi"/>
                <w:noProof/>
                <w:sz w:val="22"/>
                <w:szCs w:val="22"/>
              </w:rPr>
              <w:tab/>
            </w:r>
            <w:r w:rsidRPr="00453739">
              <w:rPr>
                <w:rStyle w:val="Hyperlink"/>
                <w:rFonts w:cstheme="minorHAnsi"/>
                <w:noProof/>
                <w:lang w:val="sr-Latn-CS"/>
              </w:rPr>
              <w:t>Uslovi koje je dužan da ispunjava koncesionar u pogledu tehničke opremljenosti, finansijske sposobnosti i ostale reference i dokaze o ispunjavanju tih uslova</w:t>
            </w:r>
            <w:r>
              <w:rPr>
                <w:noProof/>
                <w:webHidden/>
              </w:rPr>
              <w:tab/>
            </w:r>
            <w:r>
              <w:rPr>
                <w:noProof/>
                <w:webHidden/>
              </w:rPr>
              <w:fldChar w:fldCharType="begin"/>
            </w:r>
            <w:r>
              <w:rPr>
                <w:noProof/>
                <w:webHidden/>
              </w:rPr>
              <w:instrText xml:space="preserve"> PAGEREF _Toc436124883 \h </w:instrText>
            </w:r>
            <w:r>
              <w:rPr>
                <w:noProof/>
                <w:webHidden/>
              </w:rPr>
            </w:r>
            <w:r>
              <w:rPr>
                <w:noProof/>
                <w:webHidden/>
              </w:rPr>
              <w:fldChar w:fldCharType="separate"/>
            </w:r>
            <w:r>
              <w:rPr>
                <w:noProof/>
                <w:webHidden/>
              </w:rPr>
              <w:t>26</w:t>
            </w:r>
            <w:r>
              <w:rPr>
                <w:noProof/>
                <w:webHidden/>
              </w:rPr>
              <w:fldChar w:fldCharType="end"/>
            </w:r>
          </w:hyperlink>
        </w:p>
        <w:p w:rsidR="0021277B" w:rsidRDefault="0021277B">
          <w:pPr>
            <w:pStyle w:val="TOC1"/>
            <w:rPr>
              <w:rFonts w:asciiTheme="minorHAnsi" w:hAnsiTheme="minorHAnsi"/>
              <w:noProof/>
              <w:sz w:val="22"/>
              <w:szCs w:val="22"/>
            </w:rPr>
          </w:pPr>
          <w:hyperlink w:anchor="_Toc436124884" w:history="1">
            <w:r w:rsidRPr="00453739">
              <w:rPr>
                <w:rStyle w:val="Hyperlink"/>
                <w:rFonts w:cstheme="minorHAnsi"/>
                <w:noProof/>
                <w:lang w:val="sr-Latn-CS"/>
              </w:rPr>
              <w:t>9.</w:t>
            </w:r>
            <w:r>
              <w:rPr>
                <w:rFonts w:asciiTheme="minorHAnsi" w:hAnsiTheme="minorHAnsi"/>
                <w:noProof/>
                <w:sz w:val="22"/>
                <w:szCs w:val="22"/>
              </w:rPr>
              <w:tab/>
            </w:r>
            <w:r w:rsidRPr="00453739">
              <w:rPr>
                <w:rStyle w:val="Hyperlink"/>
                <w:rFonts w:cstheme="minorHAnsi"/>
                <w:noProof/>
                <w:lang w:val="sr-Latn-CS"/>
              </w:rPr>
              <w:t>Minimalni početni iznos koncesione naknade</w:t>
            </w:r>
            <w:r>
              <w:rPr>
                <w:noProof/>
                <w:webHidden/>
              </w:rPr>
              <w:tab/>
            </w:r>
            <w:r>
              <w:rPr>
                <w:noProof/>
                <w:webHidden/>
              </w:rPr>
              <w:fldChar w:fldCharType="begin"/>
            </w:r>
            <w:r>
              <w:rPr>
                <w:noProof/>
                <w:webHidden/>
              </w:rPr>
              <w:instrText xml:space="preserve"> PAGEREF _Toc436124884 \h </w:instrText>
            </w:r>
            <w:r>
              <w:rPr>
                <w:noProof/>
                <w:webHidden/>
              </w:rPr>
            </w:r>
            <w:r>
              <w:rPr>
                <w:noProof/>
                <w:webHidden/>
              </w:rPr>
              <w:fldChar w:fldCharType="separate"/>
            </w:r>
            <w:r>
              <w:rPr>
                <w:noProof/>
                <w:webHidden/>
              </w:rPr>
              <w:t>26</w:t>
            </w:r>
            <w:r>
              <w:rPr>
                <w:noProof/>
                <w:webHidden/>
              </w:rPr>
              <w:fldChar w:fldCharType="end"/>
            </w:r>
          </w:hyperlink>
        </w:p>
        <w:p w:rsidR="0021277B" w:rsidRDefault="0021277B">
          <w:pPr>
            <w:pStyle w:val="TOC2"/>
            <w:rPr>
              <w:rFonts w:asciiTheme="minorHAnsi" w:hAnsiTheme="minorHAnsi"/>
              <w:noProof/>
              <w:sz w:val="22"/>
            </w:rPr>
          </w:pPr>
          <w:hyperlink w:anchor="_Toc436124885" w:history="1">
            <w:r w:rsidRPr="00453739">
              <w:rPr>
                <w:rStyle w:val="Hyperlink"/>
                <w:rFonts w:cstheme="minorHAnsi"/>
                <w:noProof/>
                <w:lang w:val="sr-Latn-CS"/>
              </w:rPr>
              <w:t>9.1.</w:t>
            </w:r>
            <w:r>
              <w:rPr>
                <w:rFonts w:asciiTheme="minorHAnsi" w:hAnsiTheme="minorHAnsi"/>
                <w:noProof/>
                <w:sz w:val="22"/>
              </w:rPr>
              <w:tab/>
            </w:r>
            <w:r w:rsidRPr="00453739">
              <w:rPr>
                <w:rStyle w:val="Hyperlink"/>
                <w:rFonts w:cstheme="minorHAnsi"/>
                <w:noProof/>
                <w:lang w:val="sr-Latn-CS"/>
              </w:rPr>
              <w:t>Minimalni početni iznos koncesione naknade za eksploataciju</w:t>
            </w:r>
            <w:r>
              <w:rPr>
                <w:noProof/>
                <w:webHidden/>
              </w:rPr>
              <w:tab/>
            </w:r>
            <w:r>
              <w:rPr>
                <w:noProof/>
                <w:webHidden/>
              </w:rPr>
              <w:fldChar w:fldCharType="begin"/>
            </w:r>
            <w:r>
              <w:rPr>
                <w:noProof/>
                <w:webHidden/>
              </w:rPr>
              <w:instrText xml:space="preserve"> PAGEREF _Toc436124885 \h </w:instrText>
            </w:r>
            <w:r>
              <w:rPr>
                <w:noProof/>
                <w:webHidden/>
              </w:rPr>
            </w:r>
            <w:r>
              <w:rPr>
                <w:noProof/>
                <w:webHidden/>
              </w:rPr>
              <w:fldChar w:fldCharType="separate"/>
            </w:r>
            <w:r>
              <w:rPr>
                <w:noProof/>
                <w:webHidden/>
              </w:rPr>
              <w:t>27</w:t>
            </w:r>
            <w:r>
              <w:rPr>
                <w:noProof/>
                <w:webHidden/>
              </w:rPr>
              <w:fldChar w:fldCharType="end"/>
            </w:r>
          </w:hyperlink>
        </w:p>
        <w:p w:rsidR="0021277B" w:rsidRDefault="0021277B">
          <w:pPr>
            <w:pStyle w:val="TOC3"/>
            <w:tabs>
              <w:tab w:val="left" w:pos="1320"/>
              <w:tab w:val="right" w:leader="dot" w:pos="9350"/>
            </w:tabs>
            <w:rPr>
              <w:rFonts w:asciiTheme="minorHAnsi" w:hAnsiTheme="minorHAnsi"/>
              <w:noProof/>
              <w:sz w:val="22"/>
            </w:rPr>
          </w:pPr>
          <w:hyperlink w:anchor="_Toc436124886" w:history="1">
            <w:r w:rsidRPr="00453739">
              <w:rPr>
                <w:rStyle w:val="Hyperlink"/>
                <w:rFonts w:cstheme="minorHAnsi"/>
                <w:noProof/>
                <w:lang w:val="sr-Latn-CS"/>
              </w:rPr>
              <w:t>9.1.1.</w:t>
            </w:r>
            <w:r>
              <w:rPr>
                <w:rFonts w:asciiTheme="minorHAnsi" w:hAnsiTheme="minorHAnsi"/>
                <w:noProof/>
                <w:sz w:val="22"/>
              </w:rPr>
              <w:tab/>
            </w:r>
            <w:r w:rsidRPr="00453739">
              <w:rPr>
                <w:rStyle w:val="Hyperlink"/>
                <w:rFonts w:cstheme="minorHAnsi"/>
                <w:noProof/>
                <w:lang w:val="sr-Latn-CS"/>
              </w:rPr>
              <w:t>Rezerve mineralne sirovine</w:t>
            </w:r>
            <w:r>
              <w:rPr>
                <w:noProof/>
                <w:webHidden/>
              </w:rPr>
              <w:tab/>
            </w:r>
            <w:r>
              <w:rPr>
                <w:noProof/>
                <w:webHidden/>
              </w:rPr>
              <w:fldChar w:fldCharType="begin"/>
            </w:r>
            <w:r>
              <w:rPr>
                <w:noProof/>
                <w:webHidden/>
              </w:rPr>
              <w:instrText xml:space="preserve"> PAGEREF _Toc436124886 \h </w:instrText>
            </w:r>
            <w:r>
              <w:rPr>
                <w:noProof/>
                <w:webHidden/>
              </w:rPr>
            </w:r>
            <w:r>
              <w:rPr>
                <w:noProof/>
                <w:webHidden/>
              </w:rPr>
              <w:fldChar w:fldCharType="separate"/>
            </w:r>
            <w:r>
              <w:rPr>
                <w:noProof/>
                <w:webHidden/>
              </w:rPr>
              <w:t>27</w:t>
            </w:r>
            <w:r>
              <w:rPr>
                <w:noProof/>
                <w:webHidden/>
              </w:rPr>
              <w:fldChar w:fldCharType="end"/>
            </w:r>
          </w:hyperlink>
        </w:p>
        <w:p w:rsidR="0021277B" w:rsidRDefault="0021277B">
          <w:pPr>
            <w:pStyle w:val="TOC3"/>
            <w:tabs>
              <w:tab w:val="left" w:pos="1320"/>
              <w:tab w:val="right" w:leader="dot" w:pos="9350"/>
            </w:tabs>
            <w:rPr>
              <w:rFonts w:asciiTheme="minorHAnsi" w:hAnsiTheme="minorHAnsi"/>
              <w:noProof/>
              <w:sz w:val="22"/>
            </w:rPr>
          </w:pPr>
          <w:hyperlink w:anchor="_Toc436124887" w:history="1">
            <w:r w:rsidRPr="00453739">
              <w:rPr>
                <w:rStyle w:val="Hyperlink"/>
                <w:rFonts w:cstheme="minorHAnsi"/>
                <w:noProof/>
                <w:lang w:val="sr-Latn-CS"/>
              </w:rPr>
              <w:t>9.1.2.</w:t>
            </w:r>
            <w:r>
              <w:rPr>
                <w:rFonts w:asciiTheme="minorHAnsi" w:hAnsiTheme="minorHAnsi"/>
                <w:noProof/>
                <w:sz w:val="22"/>
              </w:rPr>
              <w:tab/>
            </w:r>
            <w:r w:rsidRPr="00453739">
              <w:rPr>
                <w:rStyle w:val="Hyperlink"/>
                <w:rFonts w:cstheme="minorHAnsi"/>
                <w:noProof/>
                <w:lang w:val="sr-Latn-CS"/>
              </w:rPr>
              <w:t>Pripadnost grupi ležišta</w:t>
            </w:r>
            <w:r>
              <w:rPr>
                <w:noProof/>
                <w:webHidden/>
              </w:rPr>
              <w:tab/>
            </w:r>
            <w:r>
              <w:rPr>
                <w:noProof/>
                <w:webHidden/>
              </w:rPr>
              <w:fldChar w:fldCharType="begin"/>
            </w:r>
            <w:r>
              <w:rPr>
                <w:noProof/>
                <w:webHidden/>
              </w:rPr>
              <w:instrText xml:space="preserve"> PAGEREF _Toc436124887 \h </w:instrText>
            </w:r>
            <w:r>
              <w:rPr>
                <w:noProof/>
                <w:webHidden/>
              </w:rPr>
            </w:r>
            <w:r>
              <w:rPr>
                <w:noProof/>
                <w:webHidden/>
              </w:rPr>
              <w:fldChar w:fldCharType="separate"/>
            </w:r>
            <w:r>
              <w:rPr>
                <w:noProof/>
                <w:webHidden/>
              </w:rPr>
              <w:t>27</w:t>
            </w:r>
            <w:r>
              <w:rPr>
                <w:noProof/>
                <w:webHidden/>
              </w:rPr>
              <w:fldChar w:fldCharType="end"/>
            </w:r>
          </w:hyperlink>
        </w:p>
        <w:p w:rsidR="0021277B" w:rsidRDefault="0021277B">
          <w:pPr>
            <w:pStyle w:val="TOC3"/>
            <w:tabs>
              <w:tab w:val="left" w:pos="1320"/>
              <w:tab w:val="right" w:leader="dot" w:pos="9350"/>
            </w:tabs>
            <w:rPr>
              <w:rFonts w:asciiTheme="minorHAnsi" w:hAnsiTheme="minorHAnsi"/>
              <w:noProof/>
              <w:sz w:val="22"/>
            </w:rPr>
          </w:pPr>
          <w:hyperlink w:anchor="_Toc436124888" w:history="1">
            <w:r w:rsidRPr="00453739">
              <w:rPr>
                <w:rStyle w:val="Hyperlink"/>
                <w:rFonts w:cstheme="minorHAnsi"/>
                <w:noProof/>
                <w:lang w:val="sr-Latn-CS"/>
              </w:rPr>
              <w:t>9.1.3.</w:t>
            </w:r>
            <w:r>
              <w:rPr>
                <w:rFonts w:asciiTheme="minorHAnsi" w:hAnsiTheme="minorHAnsi"/>
                <w:noProof/>
                <w:sz w:val="22"/>
              </w:rPr>
              <w:tab/>
            </w:r>
            <w:r w:rsidRPr="00453739">
              <w:rPr>
                <w:rStyle w:val="Hyperlink"/>
                <w:rFonts w:cstheme="minorHAnsi"/>
                <w:noProof/>
                <w:lang w:val="sr-Latn-CS"/>
              </w:rPr>
              <w:t>Kvalitet mineralne sirovine</w:t>
            </w:r>
            <w:r>
              <w:rPr>
                <w:noProof/>
                <w:webHidden/>
              </w:rPr>
              <w:tab/>
            </w:r>
            <w:r>
              <w:rPr>
                <w:noProof/>
                <w:webHidden/>
              </w:rPr>
              <w:fldChar w:fldCharType="begin"/>
            </w:r>
            <w:r>
              <w:rPr>
                <w:noProof/>
                <w:webHidden/>
              </w:rPr>
              <w:instrText xml:space="preserve"> PAGEREF _Toc436124888 \h </w:instrText>
            </w:r>
            <w:r>
              <w:rPr>
                <w:noProof/>
                <w:webHidden/>
              </w:rPr>
            </w:r>
            <w:r>
              <w:rPr>
                <w:noProof/>
                <w:webHidden/>
              </w:rPr>
              <w:fldChar w:fldCharType="separate"/>
            </w:r>
            <w:r>
              <w:rPr>
                <w:noProof/>
                <w:webHidden/>
              </w:rPr>
              <w:t>27</w:t>
            </w:r>
            <w:r>
              <w:rPr>
                <w:noProof/>
                <w:webHidden/>
              </w:rPr>
              <w:fldChar w:fldCharType="end"/>
            </w:r>
          </w:hyperlink>
        </w:p>
        <w:p w:rsidR="0021277B" w:rsidRDefault="0021277B">
          <w:pPr>
            <w:pStyle w:val="TOC3"/>
            <w:tabs>
              <w:tab w:val="left" w:pos="1320"/>
              <w:tab w:val="right" w:leader="dot" w:pos="9350"/>
            </w:tabs>
            <w:rPr>
              <w:rFonts w:asciiTheme="minorHAnsi" w:hAnsiTheme="minorHAnsi"/>
              <w:noProof/>
              <w:sz w:val="22"/>
            </w:rPr>
          </w:pPr>
          <w:hyperlink w:anchor="_Toc436124889" w:history="1">
            <w:r w:rsidRPr="00453739">
              <w:rPr>
                <w:rStyle w:val="Hyperlink"/>
                <w:rFonts w:cstheme="minorHAnsi"/>
                <w:noProof/>
                <w:lang w:val="sr-Latn-CS"/>
              </w:rPr>
              <w:t>9.1.4.</w:t>
            </w:r>
            <w:r>
              <w:rPr>
                <w:rFonts w:asciiTheme="minorHAnsi" w:hAnsiTheme="minorHAnsi"/>
                <w:noProof/>
                <w:sz w:val="22"/>
              </w:rPr>
              <w:tab/>
            </w:r>
            <w:r w:rsidRPr="00453739">
              <w:rPr>
                <w:rStyle w:val="Hyperlink"/>
                <w:rFonts w:cstheme="minorHAnsi"/>
                <w:noProof/>
                <w:lang w:val="sr-Latn-CS"/>
              </w:rPr>
              <w:t>Tržišna vrijednost rezervi</w:t>
            </w:r>
            <w:r>
              <w:rPr>
                <w:noProof/>
                <w:webHidden/>
              </w:rPr>
              <w:tab/>
            </w:r>
            <w:r>
              <w:rPr>
                <w:noProof/>
                <w:webHidden/>
              </w:rPr>
              <w:fldChar w:fldCharType="begin"/>
            </w:r>
            <w:r>
              <w:rPr>
                <w:noProof/>
                <w:webHidden/>
              </w:rPr>
              <w:instrText xml:space="preserve"> PAGEREF _Toc436124889 \h </w:instrText>
            </w:r>
            <w:r>
              <w:rPr>
                <w:noProof/>
                <w:webHidden/>
              </w:rPr>
            </w:r>
            <w:r>
              <w:rPr>
                <w:noProof/>
                <w:webHidden/>
              </w:rPr>
              <w:fldChar w:fldCharType="separate"/>
            </w:r>
            <w:r>
              <w:rPr>
                <w:noProof/>
                <w:webHidden/>
              </w:rPr>
              <w:t>28</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890" w:history="1">
            <w:r w:rsidRPr="00453739">
              <w:rPr>
                <w:rStyle w:val="Hyperlink"/>
                <w:rFonts w:cstheme="minorHAnsi"/>
                <w:noProof/>
                <w:lang w:val="sr-Latn-CS"/>
              </w:rPr>
              <w:t>9.1.5.</w:t>
            </w:r>
            <w:r>
              <w:rPr>
                <w:rFonts w:asciiTheme="minorHAnsi" w:hAnsiTheme="minorHAnsi"/>
                <w:noProof/>
                <w:sz w:val="22"/>
              </w:rPr>
              <w:tab/>
            </w:r>
            <w:r w:rsidRPr="00453739">
              <w:rPr>
                <w:rStyle w:val="Hyperlink"/>
                <w:rFonts w:cstheme="minorHAnsi"/>
                <w:noProof/>
                <w:lang w:val="sr-Latn-CS"/>
              </w:rPr>
              <w:t>Obračun minimalne koncesione naknade</w:t>
            </w:r>
            <w:r>
              <w:rPr>
                <w:noProof/>
                <w:webHidden/>
              </w:rPr>
              <w:tab/>
            </w:r>
            <w:r>
              <w:rPr>
                <w:noProof/>
                <w:webHidden/>
              </w:rPr>
              <w:fldChar w:fldCharType="begin"/>
            </w:r>
            <w:r>
              <w:rPr>
                <w:noProof/>
                <w:webHidden/>
              </w:rPr>
              <w:instrText xml:space="preserve"> PAGEREF _Toc436124890 \h </w:instrText>
            </w:r>
            <w:r>
              <w:rPr>
                <w:noProof/>
                <w:webHidden/>
              </w:rPr>
            </w:r>
            <w:r>
              <w:rPr>
                <w:noProof/>
                <w:webHidden/>
              </w:rPr>
              <w:fldChar w:fldCharType="separate"/>
            </w:r>
            <w:r>
              <w:rPr>
                <w:noProof/>
                <w:webHidden/>
              </w:rPr>
              <w:t>29</w:t>
            </w:r>
            <w:r>
              <w:rPr>
                <w:noProof/>
                <w:webHidden/>
              </w:rPr>
              <w:fldChar w:fldCharType="end"/>
            </w:r>
          </w:hyperlink>
        </w:p>
        <w:p w:rsidR="0021277B" w:rsidRDefault="0021277B">
          <w:pPr>
            <w:pStyle w:val="TOC2"/>
            <w:rPr>
              <w:rFonts w:asciiTheme="minorHAnsi" w:hAnsiTheme="minorHAnsi"/>
              <w:noProof/>
              <w:sz w:val="22"/>
            </w:rPr>
          </w:pPr>
          <w:hyperlink w:anchor="_Toc436124891" w:history="1">
            <w:r w:rsidRPr="00453739">
              <w:rPr>
                <w:rStyle w:val="Hyperlink"/>
                <w:rFonts w:cstheme="minorHAnsi"/>
                <w:noProof/>
                <w:lang w:val="sr-Latn-CS"/>
              </w:rPr>
              <w:t>9.2.</w:t>
            </w:r>
            <w:r>
              <w:rPr>
                <w:rFonts w:asciiTheme="minorHAnsi" w:hAnsiTheme="minorHAnsi"/>
                <w:noProof/>
                <w:sz w:val="22"/>
              </w:rPr>
              <w:tab/>
            </w:r>
            <w:r w:rsidRPr="00453739">
              <w:rPr>
                <w:rStyle w:val="Hyperlink"/>
                <w:rFonts w:cstheme="minorHAnsi"/>
                <w:noProof/>
                <w:lang w:val="sr-Latn-CS"/>
              </w:rPr>
              <w:t>Promjenjivi dio naknade (PDN)</w:t>
            </w:r>
            <w:r>
              <w:rPr>
                <w:noProof/>
                <w:webHidden/>
              </w:rPr>
              <w:tab/>
            </w:r>
            <w:r>
              <w:rPr>
                <w:noProof/>
                <w:webHidden/>
              </w:rPr>
              <w:fldChar w:fldCharType="begin"/>
            </w:r>
            <w:r>
              <w:rPr>
                <w:noProof/>
                <w:webHidden/>
              </w:rPr>
              <w:instrText xml:space="preserve"> PAGEREF _Toc436124891 \h </w:instrText>
            </w:r>
            <w:r>
              <w:rPr>
                <w:noProof/>
                <w:webHidden/>
              </w:rPr>
            </w:r>
            <w:r>
              <w:rPr>
                <w:noProof/>
                <w:webHidden/>
              </w:rPr>
              <w:fldChar w:fldCharType="separate"/>
            </w:r>
            <w:r>
              <w:rPr>
                <w:noProof/>
                <w:webHidden/>
              </w:rPr>
              <w:t>31</w:t>
            </w:r>
            <w:r>
              <w:rPr>
                <w:noProof/>
                <w:webHidden/>
              </w:rPr>
              <w:fldChar w:fldCharType="end"/>
            </w:r>
          </w:hyperlink>
        </w:p>
        <w:p w:rsidR="0021277B" w:rsidRDefault="0021277B">
          <w:pPr>
            <w:pStyle w:val="TOC1"/>
            <w:rPr>
              <w:rFonts w:asciiTheme="minorHAnsi" w:hAnsiTheme="minorHAnsi"/>
              <w:noProof/>
              <w:sz w:val="22"/>
              <w:szCs w:val="22"/>
            </w:rPr>
          </w:pPr>
          <w:hyperlink w:anchor="_Toc436124892" w:history="1">
            <w:r w:rsidRPr="00453739">
              <w:rPr>
                <w:rStyle w:val="Hyperlink"/>
                <w:rFonts w:cstheme="minorHAnsi"/>
                <w:noProof/>
                <w:lang w:val="sr-Latn-CS"/>
              </w:rPr>
              <w:t>10.</w:t>
            </w:r>
            <w:r>
              <w:rPr>
                <w:rFonts w:asciiTheme="minorHAnsi" w:hAnsiTheme="minorHAnsi"/>
                <w:noProof/>
                <w:sz w:val="22"/>
                <w:szCs w:val="22"/>
              </w:rPr>
              <w:tab/>
            </w:r>
            <w:r w:rsidRPr="00453739">
              <w:rPr>
                <w:rStyle w:val="Hyperlink"/>
                <w:rFonts w:cstheme="minorHAnsi"/>
                <w:noProof/>
                <w:lang w:val="sr-Latn-CS"/>
              </w:rPr>
              <w:t>Kriterijumi za izbor najpovoljnije ponude</w:t>
            </w:r>
            <w:r>
              <w:rPr>
                <w:noProof/>
                <w:webHidden/>
              </w:rPr>
              <w:tab/>
            </w:r>
            <w:r>
              <w:rPr>
                <w:noProof/>
                <w:webHidden/>
              </w:rPr>
              <w:fldChar w:fldCharType="begin"/>
            </w:r>
            <w:r>
              <w:rPr>
                <w:noProof/>
                <w:webHidden/>
              </w:rPr>
              <w:instrText xml:space="preserve"> PAGEREF _Toc436124892 \h </w:instrText>
            </w:r>
            <w:r>
              <w:rPr>
                <w:noProof/>
                <w:webHidden/>
              </w:rPr>
            </w:r>
            <w:r>
              <w:rPr>
                <w:noProof/>
                <w:webHidden/>
              </w:rPr>
              <w:fldChar w:fldCharType="separate"/>
            </w:r>
            <w:r>
              <w:rPr>
                <w:noProof/>
                <w:webHidden/>
              </w:rPr>
              <w:t>32</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898" w:history="1">
            <w:r w:rsidRPr="00453739">
              <w:rPr>
                <w:rStyle w:val="Hyperlink"/>
                <w:rFonts w:cstheme="minorHAnsi"/>
                <w:i/>
                <w:noProof/>
                <w:lang w:val="sr-Latn-CS"/>
              </w:rPr>
              <w:t>15.1.</w:t>
            </w:r>
            <w:r>
              <w:rPr>
                <w:rFonts w:asciiTheme="minorHAnsi" w:hAnsiTheme="minorHAnsi"/>
                <w:noProof/>
                <w:sz w:val="22"/>
              </w:rPr>
              <w:tab/>
            </w:r>
            <w:r w:rsidRPr="00453739">
              <w:rPr>
                <w:rStyle w:val="Hyperlink"/>
                <w:rFonts w:cstheme="minorHAnsi"/>
                <w:noProof/>
                <w:lang w:val="sr-Latn-CS"/>
              </w:rPr>
              <w:t>Ponuđeni procentualni iznos za obračun koncesione naknade</w:t>
            </w:r>
            <w:r>
              <w:rPr>
                <w:noProof/>
                <w:webHidden/>
              </w:rPr>
              <w:tab/>
            </w:r>
            <w:r>
              <w:rPr>
                <w:noProof/>
                <w:webHidden/>
              </w:rPr>
              <w:fldChar w:fldCharType="begin"/>
            </w:r>
            <w:r>
              <w:rPr>
                <w:noProof/>
                <w:webHidden/>
              </w:rPr>
              <w:instrText xml:space="preserve"> PAGEREF _Toc436124898 \h </w:instrText>
            </w:r>
            <w:r>
              <w:rPr>
                <w:noProof/>
                <w:webHidden/>
              </w:rPr>
            </w:r>
            <w:r>
              <w:rPr>
                <w:noProof/>
                <w:webHidden/>
              </w:rPr>
              <w:fldChar w:fldCharType="separate"/>
            </w:r>
            <w:r>
              <w:rPr>
                <w:noProof/>
                <w:webHidden/>
              </w:rPr>
              <w:t>33</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899" w:history="1">
            <w:r w:rsidRPr="00453739">
              <w:rPr>
                <w:rStyle w:val="Hyperlink"/>
                <w:rFonts w:cstheme="minorHAnsi"/>
                <w:i/>
                <w:noProof/>
                <w:lang w:val="sr-Latn-CS"/>
              </w:rPr>
              <w:t>15.2.</w:t>
            </w:r>
            <w:r>
              <w:rPr>
                <w:rFonts w:asciiTheme="minorHAnsi" w:hAnsiTheme="minorHAnsi"/>
                <w:noProof/>
                <w:sz w:val="22"/>
              </w:rPr>
              <w:tab/>
            </w:r>
            <w:r w:rsidRPr="00453739">
              <w:rPr>
                <w:rStyle w:val="Hyperlink"/>
                <w:rFonts w:cstheme="minorHAnsi"/>
                <w:noProof/>
                <w:lang w:val="sr-Latn-CS"/>
              </w:rPr>
              <w:t>Ponuđeni ukupni obim rudarske proizvodnje</w:t>
            </w:r>
            <w:r>
              <w:rPr>
                <w:noProof/>
                <w:webHidden/>
              </w:rPr>
              <w:tab/>
            </w:r>
            <w:r>
              <w:rPr>
                <w:noProof/>
                <w:webHidden/>
              </w:rPr>
              <w:fldChar w:fldCharType="begin"/>
            </w:r>
            <w:r>
              <w:rPr>
                <w:noProof/>
                <w:webHidden/>
              </w:rPr>
              <w:instrText xml:space="preserve"> PAGEREF _Toc436124899 \h </w:instrText>
            </w:r>
            <w:r>
              <w:rPr>
                <w:noProof/>
                <w:webHidden/>
              </w:rPr>
            </w:r>
            <w:r>
              <w:rPr>
                <w:noProof/>
                <w:webHidden/>
              </w:rPr>
              <w:fldChar w:fldCharType="separate"/>
            </w:r>
            <w:r>
              <w:rPr>
                <w:noProof/>
                <w:webHidden/>
              </w:rPr>
              <w:t>33</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904" w:history="1">
            <w:r w:rsidRPr="00453739">
              <w:rPr>
                <w:rStyle w:val="Hyperlink"/>
                <w:rFonts w:cstheme="minorHAnsi"/>
                <w:noProof/>
                <w:lang w:val="sr-Latn-CS"/>
              </w:rPr>
              <w:t>10.3</w:t>
            </w:r>
            <w:r>
              <w:rPr>
                <w:rFonts w:asciiTheme="minorHAnsi" w:hAnsiTheme="minorHAnsi"/>
                <w:noProof/>
                <w:sz w:val="22"/>
              </w:rPr>
              <w:tab/>
            </w:r>
            <w:r w:rsidRPr="00453739">
              <w:rPr>
                <w:rStyle w:val="Hyperlink"/>
                <w:rFonts w:cstheme="minorHAnsi"/>
                <w:noProof/>
                <w:lang w:val="sr-Latn-CS"/>
              </w:rPr>
              <w:t>Reference ponuđača</w:t>
            </w:r>
            <w:r>
              <w:rPr>
                <w:noProof/>
                <w:webHidden/>
              </w:rPr>
              <w:tab/>
            </w:r>
            <w:r>
              <w:rPr>
                <w:noProof/>
                <w:webHidden/>
              </w:rPr>
              <w:fldChar w:fldCharType="begin"/>
            </w:r>
            <w:r>
              <w:rPr>
                <w:noProof/>
                <w:webHidden/>
              </w:rPr>
              <w:instrText xml:space="preserve"> PAGEREF _Toc436124904 \h </w:instrText>
            </w:r>
            <w:r>
              <w:rPr>
                <w:noProof/>
                <w:webHidden/>
              </w:rPr>
            </w:r>
            <w:r>
              <w:rPr>
                <w:noProof/>
                <w:webHidden/>
              </w:rPr>
              <w:fldChar w:fldCharType="separate"/>
            </w:r>
            <w:r>
              <w:rPr>
                <w:noProof/>
                <w:webHidden/>
              </w:rPr>
              <w:t>34</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906" w:history="1">
            <w:r w:rsidRPr="00453739">
              <w:rPr>
                <w:rStyle w:val="Hyperlink"/>
                <w:i/>
                <w:noProof/>
                <w:lang w:val="sr-Latn-CS"/>
              </w:rPr>
              <w:t>15.4.</w:t>
            </w:r>
            <w:r>
              <w:rPr>
                <w:rFonts w:asciiTheme="minorHAnsi" w:hAnsiTheme="minorHAnsi"/>
                <w:noProof/>
                <w:sz w:val="22"/>
              </w:rPr>
              <w:tab/>
            </w:r>
            <w:r w:rsidRPr="00453739">
              <w:rPr>
                <w:rStyle w:val="Hyperlink"/>
                <w:noProof/>
                <w:lang w:val="sr-Latn-CS"/>
              </w:rPr>
              <w:t>Finansijski aspekt – Prosječni bruto prihod ponuđača u posljednje tri godine</w:t>
            </w:r>
            <w:r>
              <w:rPr>
                <w:noProof/>
                <w:webHidden/>
              </w:rPr>
              <w:tab/>
            </w:r>
            <w:r>
              <w:rPr>
                <w:noProof/>
                <w:webHidden/>
              </w:rPr>
              <w:fldChar w:fldCharType="begin"/>
            </w:r>
            <w:r>
              <w:rPr>
                <w:noProof/>
                <w:webHidden/>
              </w:rPr>
              <w:instrText xml:space="preserve"> PAGEREF _Toc436124906 \h </w:instrText>
            </w:r>
            <w:r>
              <w:rPr>
                <w:noProof/>
                <w:webHidden/>
              </w:rPr>
            </w:r>
            <w:r>
              <w:rPr>
                <w:noProof/>
                <w:webHidden/>
              </w:rPr>
              <w:fldChar w:fldCharType="separate"/>
            </w:r>
            <w:r>
              <w:rPr>
                <w:noProof/>
                <w:webHidden/>
              </w:rPr>
              <w:t>34</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907" w:history="1">
            <w:r w:rsidRPr="00453739">
              <w:rPr>
                <w:rStyle w:val="Hyperlink"/>
                <w:i/>
                <w:noProof/>
                <w:lang w:val="sr-Latn-CS"/>
              </w:rPr>
              <w:t>15.5.</w:t>
            </w:r>
            <w:r>
              <w:rPr>
                <w:rFonts w:asciiTheme="minorHAnsi" w:hAnsiTheme="minorHAnsi"/>
                <w:noProof/>
                <w:sz w:val="22"/>
              </w:rPr>
              <w:tab/>
            </w:r>
            <w:r w:rsidRPr="00453739">
              <w:rPr>
                <w:rStyle w:val="Hyperlink"/>
                <w:noProof/>
                <w:lang w:val="sr-Latn-CS"/>
              </w:rPr>
              <w:t>Finansijski aspekt – Prosječni profit ponuđača u posljednje tri godine</w:t>
            </w:r>
            <w:r>
              <w:rPr>
                <w:noProof/>
                <w:webHidden/>
              </w:rPr>
              <w:tab/>
            </w:r>
            <w:r>
              <w:rPr>
                <w:noProof/>
                <w:webHidden/>
              </w:rPr>
              <w:fldChar w:fldCharType="begin"/>
            </w:r>
            <w:r>
              <w:rPr>
                <w:noProof/>
                <w:webHidden/>
              </w:rPr>
              <w:instrText xml:space="preserve"> PAGEREF _Toc436124907 \h </w:instrText>
            </w:r>
            <w:r>
              <w:rPr>
                <w:noProof/>
                <w:webHidden/>
              </w:rPr>
            </w:r>
            <w:r>
              <w:rPr>
                <w:noProof/>
                <w:webHidden/>
              </w:rPr>
              <w:fldChar w:fldCharType="separate"/>
            </w:r>
            <w:r>
              <w:rPr>
                <w:noProof/>
                <w:webHidden/>
              </w:rPr>
              <w:t>34</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908" w:history="1">
            <w:r w:rsidRPr="00453739">
              <w:rPr>
                <w:rStyle w:val="Hyperlink"/>
                <w:i/>
                <w:noProof/>
                <w:lang w:val="sr-Latn-CS"/>
              </w:rPr>
              <w:t>15.6.</w:t>
            </w:r>
            <w:r>
              <w:rPr>
                <w:rFonts w:asciiTheme="minorHAnsi" w:hAnsiTheme="minorHAnsi"/>
                <w:noProof/>
                <w:sz w:val="22"/>
              </w:rPr>
              <w:tab/>
            </w:r>
            <w:r w:rsidRPr="00453739">
              <w:rPr>
                <w:rStyle w:val="Hyperlink"/>
                <w:noProof/>
                <w:lang w:val="sr-Latn-CS"/>
              </w:rPr>
              <w:t>Kvalitet poslovnog plana i efekti na zapošljavanje i ekonomski razvoj</w:t>
            </w:r>
            <w:r>
              <w:rPr>
                <w:noProof/>
                <w:webHidden/>
              </w:rPr>
              <w:tab/>
            </w:r>
            <w:r>
              <w:rPr>
                <w:noProof/>
                <w:webHidden/>
              </w:rPr>
              <w:fldChar w:fldCharType="begin"/>
            </w:r>
            <w:r>
              <w:rPr>
                <w:noProof/>
                <w:webHidden/>
              </w:rPr>
              <w:instrText xml:space="preserve"> PAGEREF _Toc436124908 \h </w:instrText>
            </w:r>
            <w:r>
              <w:rPr>
                <w:noProof/>
                <w:webHidden/>
              </w:rPr>
            </w:r>
            <w:r>
              <w:rPr>
                <w:noProof/>
                <w:webHidden/>
              </w:rPr>
              <w:fldChar w:fldCharType="separate"/>
            </w:r>
            <w:r>
              <w:rPr>
                <w:noProof/>
                <w:webHidden/>
              </w:rPr>
              <w:t>35</w:t>
            </w:r>
            <w:r>
              <w:rPr>
                <w:noProof/>
                <w:webHidden/>
              </w:rPr>
              <w:fldChar w:fldCharType="end"/>
            </w:r>
          </w:hyperlink>
        </w:p>
        <w:p w:rsidR="0021277B" w:rsidRDefault="0021277B">
          <w:pPr>
            <w:pStyle w:val="TOC1"/>
            <w:tabs>
              <w:tab w:val="left" w:pos="1100"/>
            </w:tabs>
            <w:rPr>
              <w:rFonts w:asciiTheme="minorHAnsi" w:hAnsiTheme="minorHAnsi"/>
              <w:noProof/>
              <w:sz w:val="22"/>
              <w:szCs w:val="22"/>
            </w:rPr>
          </w:pPr>
          <w:hyperlink w:anchor="_Toc436124909" w:history="1">
            <w:r w:rsidRPr="00453739">
              <w:rPr>
                <w:rStyle w:val="Hyperlink"/>
                <w:rFonts w:cstheme="minorHAnsi"/>
                <w:noProof/>
                <w:lang w:val="sr-Latn-CS"/>
              </w:rPr>
              <w:t>16.</w:t>
            </w:r>
            <w:r>
              <w:rPr>
                <w:rFonts w:asciiTheme="minorHAnsi" w:hAnsiTheme="minorHAnsi"/>
                <w:noProof/>
                <w:sz w:val="22"/>
                <w:szCs w:val="22"/>
              </w:rPr>
              <w:tab/>
            </w:r>
            <w:r w:rsidRPr="00453739">
              <w:rPr>
                <w:rStyle w:val="Hyperlink"/>
                <w:rFonts w:cstheme="minorHAnsi"/>
                <w:noProof/>
                <w:lang w:val="sr-Latn-CS"/>
              </w:rPr>
              <w:t>Spisak potrebne tehničke dokumentacije sa uslovima za njenu izradu, odobrenja, saglasnosti i mišljenja za obavljanje koncesione djelatnosti</w:t>
            </w:r>
            <w:r>
              <w:rPr>
                <w:noProof/>
                <w:webHidden/>
              </w:rPr>
              <w:tab/>
            </w:r>
            <w:r>
              <w:rPr>
                <w:noProof/>
                <w:webHidden/>
              </w:rPr>
              <w:fldChar w:fldCharType="begin"/>
            </w:r>
            <w:r>
              <w:rPr>
                <w:noProof/>
                <w:webHidden/>
              </w:rPr>
              <w:instrText xml:space="preserve"> PAGEREF _Toc436124909 \h </w:instrText>
            </w:r>
            <w:r>
              <w:rPr>
                <w:noProof/>
                <w:webHidden/>
              </w:rPr>
            </w:r>
            <w:r>
              <w:rPr>
                <w:noProof/>
                <w:webHidden/>
              </w:rPr>
              <w:fldChar w:fldCharType="separate"/>
            </w:r>
            <w:r>
              <w:rPr>
                <w:noProof/>
                <w:webHidden/>
              </w:rPr>
              <w:t>35</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910" w:history="1">
            <w:r w:rsidRPr="00453739">
              <w:rPr>
                <w:rStyle w:val="Hyperlink"/>
                <w:rFonts w:cstheme="minorHAnsi"/>
                <w:noProof/>
                <w:lang w:val="sr-Latn-CS"/>
              </w:rPr>
              <w:t>16.1.</w:t>
            </w:r>
            <w:r>
              <w:rPr>
                <w:rFonts w:asciiTheme="minorHAnsi" w:hAnsiTheme="minorHAnsi"/>
                <w:noProof/>
                <w:sz w:val="22"/>
              </w:rPr>
              <w:tab/>
            </w:r>
            <w:r w:rsidRPr="00453739">
              <w:rPr>
                <w:rStyle w:val="Hyperlink"/>
                <w:rFonts w:cstheme="minorHAnsi"/>
                <w:noProof/>
                <w:lang w:val="sr-Latn-CS"/>
              </w:rPr>
              <w:t>Geološka istraživanja</w:t>
            </w:r>
            <w:r>
              <w:rPr>
                <w:noProof/>
                <w:webHidden/>
              </w:rPr>
              <w:tab/>
            </w:r>
            <w:r>
              <w:rPr>
                <w:noProof/>
                <w:webHidden/>
              </w:rPr>
              <w:fldChar w:fldCharType="begin"/>
            </w:r>
            <w:r>
              <w:rPr>
                <w:noProof/>
                <w:webHidden/>
              </w:rPr>
              <w:instrText xml:space="preserve"> PAGEREF _Toc436124910 \h </w:instrText>
            </w:r>
            <w:r>
              <w:rPr>
                <w:noProof/>
                <w:webHidden/>
              </w:rPr>
            </w:r>
            <w:r>
              <w:rPr>
                <w:noProof/>
                <w:webHidden/>
              </w:rPr>
              <w:fldChar w:fldCharType="separate"/>
            </w:r>
            <w:r>
              <w:rPr>
                <w:noProof/>
                <w:webHidden/>
              </w:rPr>
              <w:t>35</w:t>
            </w:r>
            <w:r>
              <w:rPr>
                <w:noProof/>
                <w:webHidden/>
              </w:rPr>
              <w:fldChar w:fldCharType="end"/>
            </w:r>
          </w:hyperlink>
        </w:p>
        <w:p w:rsidR="0021277B" w:rsidRDefault="0021277B">
          <w:pPr>
            <w:pStyle w:val="TOC3"/>
            <w:tabs>
              <w:tab w:val="left" w:pos="1540"/>
              <w:tab w:val="right" w:leader="dot" w:pos="9350"/>
            </w:tabs>
            <w:rPr>
              <w:rFonts w:asciiTheme="minorHAnsi" w:hAnsiTheme="minorHAnsi"/>
              <w:noProof/>
              <w:sz w:val="22"/>
            </w:rPr>
          </w:pPr>
          <w:hyperlink w:anchor="_Toc436124911" w:history="1">
            <w:r w:rsidRPr="00453739">
              <w:rPr>
                <w:rStyle w:val="Hyperlink"/>
                <w:rFonts w:cstheme="minorHAnsi"/>
                <w:noProof/>
                <w:lang w:val="sr-Latn-CS"/>
              </w:rPr>
              <w:t>16.2.1.</w:t>
            </w:r>
            <w:r>
              <w:rPr>
                <w:rFonts w:asciiTheme="minorHAnsi" w:hAnsiTheme="minorHAnsi"/>
                <w:noProof/>
                <w:sz w:val="22"/>
              </w:rPr>
              <w:tab/>
            </w:r>
            <w:r w:rsidRPr="00453739">
              <w:rPr>
                <w:rStyle w:val="Hyperlink"/>
                <w:rFonts w:cstheme="minorHAnsi"/>
                <w:noProof/>
                <w:lang w:val="sr-Latn-CS"/>
              </w:rPr>
              <w:t>Odobrenje za eksploataciju mineralne sirovine na eksploatacionom polju</w:t>
            </w:r>
            <w:r>
              <w:rPr>
                <w:noProof/>
                <w:webHidden/>
              </w:rPr>
              <w:tab/>
            </w:r>
            <w:r>
              <w:rPr>
                <w:noProof/>
                <w:webHidden/>
              </w:rPr>
              <w:fldChar w:fldCharType="begin"/>
            </w:r>
            <w:r>
              <w:rPr>
                <w:noProof/>
                <w:webHidden/>
              </w:rPr>
              <w:instrText xml:space="preserve"> PAGEREF _Toc436124911 \h </w:instrText>
            </w:r>
            <w:r>
              <w:rPr>
                <w:noProof/>
                <w:webHidden/>
              </w:rPr>
            </w:r>
            <w:r>
              <w:rPr>
                <w:noProof/>
                <w:webHidden/>
              </w:rPr>
              <w:fldChar w:fldCharType="separate"/>
            </w:r>
            <w:r>
              <w:rPr>
                <w:noProof/>
                <w:webHidden/>
              </w:rPr>
              <w:t>35</w:t>
            </w:r>
            <w:r>
              <w:rPr>
                <w:noProof/>
                <w:webHidden/>
              </w:rPr>
              <w:fldChar w:fldCharType="end"/>
            </w:r>
          </w:hyperlink>
        </w:p>
        <w:p w:rsidR="0021277B" w:rsidRDefault="0021277B">
          <w:pPr>
            <w:pStyle w:val="TOC3"/>
            <w:tabs>
              <w:tab w:val="left" w:pos="1540"/>
              <w:tab w:val="right" w:leader="dot" w:pos="9350"/>
            </w:tabs>
            <w:rPr>
              <w:rFonts w:asciiTheme="minorHAnsi" w:hAnsiTheme="minorHAnsi"/>
              <w:noProof/>
              <w:sz w:val="22"/>
            </w:rPr>
          </w:pPr>
          <w:hyperlink w:anchor="_Toc436124912" w:history="1">
            <w:r w:rsidRPr="00453739">
              <w:rPr>
                <w:rStyle w:val="Hyperlink"/>
                <w:rFonts w:cstheme="minorHAnsi"/>
                <w:noProof/>
                <w:lang w:val="sr-Latn-CS"/>
              </w:rPr>
              <w:t>16.2.2.</w:t>
            </w:r>
            <w:r>
              <w:rPr>
                <w:rFonts w:asciiTheme="minorHAnsi" w:hAnsiTheme="minorHAnsi"/>
                <w:noProof/>
                <w:sz w:val="22"/>
              </w:rPr>
              <w:tab/>
            </w:r>
            <w:r w:rsidRPr="00453739">
              <w:rPr>
                <w:rStyle w:val="Hyperlink"/>
                <w:rFonts w:cstheme="minorHAnsi"/>
                <w:noProof/>
                <w:lang w:val="sr-Latn-CS"/>
              </w:rPr>
              <w:t>Odobrenje za izvođenje radova po rudarskom projektu</w:t>
            </w:r>
            <w:r>
              <w:rPr>
                <w:noProof/>
                <w:webHidden/>
              </w:rPr>
              <w:tab/>
            </w:r>
            <w:r>
              <w:rPr>
                <w:noProof/>
                <w:webHidden/>
              </w:rPr>
              <w:fldChar w:fldCharType="begin"/>
            </w:r>
            <w:r>
              <w:rPr>
                <w:noProof/>
                <w:webHidden/>
              </w:rPr>
              <w:instrText xml:space="preserve"> PAGEREF _Toc436124912 \h </w:instrText>
            </w:r>
            <w:r>
              <w:rPr>
                <w:noProof/>
                <w:webHidden/>
              </w:rPr>
            </w:r>
            <w:r>
              <w:rPr>
                <w:noProof/>
                <w:webHidden/>
              </w:rPr>
              <w:fldChar w:fldCharType="separate"/>
            </w:r>
            <w:r>
              <w:rPr>
                <w:noProof/>
                <w:webHidden/>
              </w:rPr>
              <w:t>36</w:t>
            </w:r>
            <w:r>
              <w:rPr>
                <w:noProof/>
                <w:webHidden/>
              </w:rPr>
              <w:fldChar w:fldCharType="end"/>
            </w:r>
          </w:hyperlink>
        </w:p>
        <w:p w:rsidR="0021277B" w:rsidRDefault="0021277B">
          <w:pPr>
            <w:pStyle w:val="TOC3"/>
            <w:tabs>
              <w:tab w:val="left" w:pos="1540"/>
              <w:tab w:val="right" w:leader="dot" w:pos="9350"/>
            </w:tabs>
            <w:rPr>
              <w:rFonts w:asciiTheme="minorHAnsi" w:hAnsiTheme="minorHAnsi"/>
              <w:noProof/>
              <w:sz w:val="22"/>
            </w:rPr>
          </w:pPr>
          <w:hyperlink w:anchor="_Toc436124913" w:history="1">
            <w:r w:rsidRPr="00453739">
              <w:rPr>
                <w:rStyle w:val="Hyperlink"/>
                <w:rFonts w:cstheme="minorHAnsi"/>
                <w:noProof/>
                <w:lang w:val="sr-Latn-CS"/>
              </w:rPr>
              <w:t>16.2.3.</w:t>
            </w:r>
            <w:r>
              <w:rPr>
                <w:rFonts w:asciiTheme="minorHAnsi" w:hAnsiTheme="minorHAnsi"/>
                <w:noProof/>
                <w:sz w:val="22"/>
              </w:rPr>
              <w:tab/>
            </w:r>
            <w:r w:rsidRPr="00453739">
              <w:rPr>
                <w:rStyle w:val="Hyperlink"/>
                <w:rFonts w:cstheme="minorHAnsi"/>
                <w:noProof/>
                <w:lang w:val="sr-Latn-CS"/>
              </w:rPr>
              <w:t>Odobrenje za upotrebu rudarskih objekata</w:t>
            </w:r>
            <w:r>
              <w:rPr>
                <w:noProof/>
                <w:webHidden/>
              </w:rPr>
              <w:tab/>
            </w:r>
            <w:r>
              <w:rPr>
                <w:noProof/>
                <w:webHidden/>
              </w:rPr>
              <w:fldChar w:fldCharType="begin"/>
            </w:r>
            <w:r>
              <w:rPr>
                <w:noProof/>
                <w:webHidden/>
              </w:rPr>
              <w:instrText xml:space="preserve"> PAGEREF _Toc436124913 \h </w:instrText>
            </w:r>
            <w:r>
              <w:rPr>
                <w:noProof/>
                <w:webHidden/>
              </w:rPr>
            </w:r>
            <w:r>
              <w:rPr>
                <w:noProof/>
                <w:webHidden/>
              </w:rPr>
              <w:fldChar w:fldCharType="separate"/>
            </w:r>
            <w:r>
              <w:rPr>
                <w:noProof/>
                <w:webHidden/>
              </w:rPr>
              <w:t>37</w:t>
            </w:r>
            <w:r>
              <w:rPr>
                <w:noProof/>
                <w:webHidden/>
              </w:rPr>
              <w:fldChar w:fldCharType="end"/>
            </w:r>
          </w:hyperlink>
        </w:p>
        <w:p w:rsidR="0021277B" w:rsidRDefault="0021277B">
          <w:pPr>
            <w:pStyle w:val="TOC2"/>
            <w:tabs>
              <w:tab w:val="left" w:pos="1540"/>
            </w:tabs>
            <w:rPr>
              <w:rFonts w:asciiTheme="minorHAnsi" w:hAnsiTheme="minorHAnsi"/>
              <w:noProof/>
              <w:sz w:val="22"/>
            </w:rPr>
          </w:pPr>
          <w:hyperlink w:anchor="_Toc436124914" w:history="1">
            <w:r w:rsidRPr="00453739">
              <w:rPr>
                <w:rStyle w:val="Hyperlink"/>
                <w:rFonts w:cstheme="minorHAnsi"/>
                <w:noProof/>
                <w:lang w:val="sr-Latn-CS"/>
              </w:rPr>
              <w:t>16.2.4.</w:t>
            </w:r>
            <w:r>
              <w:rPr>
                <w:rFonts w:asciiTheme="minorHAnsi" w:hAnsiTheme="minorHAnsi"/>
                <w:noProof/>
                <w:sz w:val="22"/>
              </w:rPr>
              <w:tab/>
            </w:r>
            <w:r w:rsidRPr="00453739">
              <w:rPr>
                <w:rStyle w:val="Hyperlink"/>
                <w:rFonts w:cstheme="minorHAnsi"/>
                <w:noProof/>
                <w:lang w:val="sr-Latn-CS"/>
              </w:rPr>
              <w:t>Hronologija izrade tehničke dokumentacije i pribavljanja odobrenja i saglasnosti za izvođenje rudarskih radova</w:t>
            </w:r>
            <w:r>
              <w:rPr>
                <w:noProof/>
                <w:webHidden/>
              </w:rPr>
              <w:tab/>
            </w:r>
            <w:r>
              <w:rPr>
                <w:noProof/>
                <w:webHidden/>
              </w:rPr>
              <w:fldChar w:fldCharType="begin"/>
            </w:r>
            <w:r>
              <w:rPr>
                <w:noProof/>
                <w:webHidden/>
              </w:rPr>
              <w:instrText xml:space="preserve"> PAGEREF _Toc436124914 \h </w:instrText>
            </w:r>
            <w:r>
              <w:rPr>
                <w:noProof/>
                <w:webHidden/>
              </w:rPr>
            </w:r>
            <w:r>
              <w:rPr>
                <w:noProof/>
                <w:webHidden/>
              </w:rPr>
              <w:fldChar w:fldCharType="separate"/>
            </w:r>
            <w:r>
              <w:rPr>
                <w:noProof/>
                <w:webHidden/>
              </w:rPr>
              <w:t>37</w:t>
            </w:r>
            <w:r>
              <w:rPr>
                <w:noProof/>
                <w:webHidden/>
              </w:rPr>
              <w:fldChar w:fldCharType="end"/>
            </w:r>
          </w:hyperlink>
        </w:p>
        <w:p w:rsidR="0021277B" w:rsidRDefault="0021277B">
          <w:pPr>
            <w:pStyle w:val="TOC1"/>
            <w:tabs>
              <w:tab w:val="left" w:pos="1100"/>
            </w:tabs>
            <w:rPr>
              <w:rFonts w:asciiTheme="minorHAnsi" w:hAnsiTheme="minorHAnsi"/>
              <w:noProof/>
              <w:sz w:val="22"/>
              <w:szCs w:val="22"/>
            </w:rPr>
          </w:pPr>
          <w:hyperlink w:anchor="_Toc436124915" w:history="1">
            <w:r w:rsidRPr="00453739">
              <w:rPr>
                <w:rStyle w:val="Hyperlink"/>
                <w:rFonts w:cstheme="minorHAnsi"/>
                <w:noProof/>
                <w:lang w:val="sr-Latn-CS"/>
              </w:rPr>
              <w:t>17.</w:t>
            </w:r>
            <w:r>
              <w:rPr>
                <w:rFonts w:asciiTheme="minorHAnsi" w:hAnsiTheme="minorHAnsi"/>
                <w:noProof/>
                <w:sz w:val="22"/>
                <w:szCs w:val="22"/>
              </w:rPr>
              <w:tab/>
            </w:r>
            <w:r w:rsidRPr="00453739">
              <w:rPr>
                <w:rStyle w:val="Hyperlink"/>
                <w:rFonts w:cstheme="minorHAnsi"/>
                <w:noProof/>
                <w:lang w:val="sr-Latn-CS"/>
              </w:rPr>
              <w:t>Osnovni elementi tenderske dokumentacije (javni oglas, dokumentacija vezana za ponudu)</w:t>
            </w:r>
            <w:r>
              <w:rPr>
                <w:noProof/>
                <w:webHidden/>
              </w:rPr>
              <w:tab/>
            </w:r>
            <w:r>
              <w:rPr>
                <w:noProof/>
                <w:webHidden/>
              </w:rPr>
              <w:fldChar w:fldCharType="begin"/>
            </w:r>
            <w:r>
              <w:rPr>
                <w:noProof/>
                <w:webHidden/>
              </w:rPr>
              <w:instrText xml:space="preserve"> PAGEREF _Toc436124915 \h </w:instrText>
            </w:r>
            <w:r>
              <w:rPr>
                <w:noProof/>
                <w:webHidden/>
              </w:rPr>
            </w:r>
            <w:r>
              <w:rPr>
                <w:noProof/>
                <w:webHidden/>
              </w:rPr>
              <w:fldChar w:fldCharType="separate"/>
            </w:r>
            <w:r>
              <w:rPr>
                <w:noProof/>
                <w:webHidden/>
              </w:rPr>
              <w:t>38</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916" w:history="1">
            <w:r w:rsidRPr="00453739">
              <w:rPr>
                <w:rStyle w:val="Hyperlink"/>
                <w:rFonts w:eastAsia="Times New Roman" w:cstheme="minorHAnsi"/>
                <w:noProof/>
                <w:lang w:val="sr-Latn-CS"/>
              </w:rPr>
              <w:t>17.1.</w:t>
            </w:r>
            <w:r>
              <w:rPr>
                <w:rFonts w:asciiTheme="minorHAnsi" w:hAnsiTheme="minorHAnsi"/>
                <w:noProof/>
                <w:sz w:val="22"/>
              </w:rPr>
              <w:tab/>
            </w:r>
            <w:r w:rsidRPr="00453739">
              <w:rPr>
                <w:rStyle w:val="Hyperlink"/>
                <w:rFonts w:cstheme="minorHAnsi"/>
                <w:noProof/>
                <w:lang w:val="sr-Latn-CS"/>
              </w:rPr>
              <w:t>D</w:t>
            </w:r>
            <w:r w:rsidRPr="00453739">
              <w:rPr>
                <w:rStyle w:val="Hyperlink"/>
                <w:rFonts w:eastAsia="Times New Roman" w:cstheme="minorHAnsi"/>
                <w:noProof/>
                <w:lang w:val="sr-Latn-CS"/>
              </w:rPr>
              <w:t>okumentacija koja se prilaže uz ponudu</w:t>
            </w:r>
            <w:r>
              <w:rPr>
                <w:noProof/>
                <w:webHidden/>
              </w:rPr>
              <w:tab/>
            </w:r>
            <w:r>
              <w:rPr>
                <w:noProof/>
                <w:webHidden/>
              </w:rPr>
              <w:fldChar w:fldCharType="begin"/>
            </w:r>
            <w:r>
              <w:rPr>
                <w:noProof/>
                <w:webHidden/>
              </w:rPr>
              <w:instrText xml:space="preserve"> PAGEREF _Toc436124916 \h </w:instrText>
            </w:r>
            <w:r>
              <w:rPr>
                <w:noProof/>
                <w:webHidden/>
              </w:rPr>
            </w:r>
            <w:r>
              <w:rPr>
                <w:noProof/>
                <w:webHidden/>
              </w:rPr>
              <w:fldChar w:fldCharType="separate"/>
            </w:r>
            <w:r>
              <w:rPr>
                <w:noProof/>
                <w:webHidden/>
              </w:rPr>
              <w:t>38</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917" w:history="1">
            <w:r w:rsidRPr="00453739">
              <w:rPr>
                <w:rStyle w:val="Hyperlink"/>
                <w:rFonts w:cstheme="minorHAnsi"/>
                <w:noProof/>
                <w:lang w:val="sr-Latn-CS"/>
              </w:rPr>
              <w:t>17.2.</w:t>
            </w:r>
            <w:r>
              <w:rPr>
                <w:rFonts w:asciiTheme="minorHAnsi" w:hAnsiTheme="minorHAnsi"/>
                <w:noProof/>
                <w:sz w:val="22"/>
              </w:rPr>
              <w:tab/>
            </w:r>
            <w:r w:rsidRPr="00453739">
              <w:rPr>
                <w:rStyle w:val="Hyperlink"/>
                <w:rFonts w:cstheme="minorHAnsi"/>
                <w:noProof/>
                <w:lang w:val="sr-Latn-CS"/>
              </w:rPr>
              <w:t>Javni oglas</w:t>
            </w:r>
            <w:r>
              <w:rPr>
                <w:noProof/>
                <w:webHidden/>
              </w:rPr>
              <w:tab/>
            </w:r>
            <w:r>
              <w:rPr>
                <w:noProof/>
                <w:webHidden/>
              </w:rPr>
              <w:fldChar w:fldCharType="begin"/>
            </w:r>
            <w:r>
              <w:rPr>
                <w:noProof/>
                <w:webHidden/>
              </w:rPr>
              <w:instrText xml:space="preserve"> PAGEREF _Toc436124917 \h </w:instrText>
            </w:r>
            <w:r>
              <w:rPr>
                <w:noProof/>
                <w:webHidden/>
              </w:rPr>
            </w:r>
            <w:r>
              <w:rPr>
                <w:noProof/>
                <w:webHidden/>
              </w:rPr>
              <w:fldChar w:fldCharType="separate"/>
            </w:r>
            <w:r>
              <w:rPr>
                <w:noProof/>
                <w:webHidden/>
              </w:rPr>
              <w:t>40</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918" w:history="1">
            <w:r w:rsidRPr="00453739">
              <w:rPr>
                <w:rStyle w:val="Hyperlink"/>
                <w:rFonts w:cstheme="minorHAnsi"/>
                <w:noProof/>
                <w:lang w:val="sr-Latn-CS"/>
              </w:rPr>
              <w:t>17.3.</w:t>
            </w:r>
            <w:r>
              <w:rPr>
                <w:rFonts w:asciiTheme="minorHAnsi" w:hAnsiTheme="minorHAnsi"/>
                <w:noProof/>
                <w:sz w:val="22"/>
              </w:rPr>
              <w:tab/>
            </w:r>
            <w:r w:rsidRPr="00453739">
              <w:rPr>
                <w:rStyle w:val="Hyperlink"/>
                <w:rFonts w:cstheme="minorHAnsi"/>
                <w:noProof/>
                <w:lang w:val="sr-Latn-CS"/>
              </w:rPr>
              <w:t>Ugovor o koncesiji</w:t>
            </w:r>
            <w:r>
              <w:rPr>
                <w:noProof/>
                <w:webHidden/>
              </w:rPr>
              <w:tab/>
            </w:r>
            <w:r>
              <w:rPr>
                <w:noProof/>
                <w:webHidden/>
              </w:rPr>
              <w:fldChar w:fldCharType="begin"/>
            </w:r>
            <w:r>
              <w:rPr>
                <w:noProof/>
                <w:webHidden/>
              </w:rPr>
              <w:instrText xml:space="preserve"> PAGEREF _Toc436124918 \h </w:instrText>
            </w:r>
            <w:r>
              <w:rPr>
                <w:noProof/>
                <w:webHidden/>
              </w:rPr>
            </w:r>
            <w:r>
              <w:rPr>
                <w:noProof/>
                <w:webHidden/>
              </w:rPr>
              <w:fldChar w:fldCharType="separate"/>
            </w:r>
            <w:r>
              <w:rPr>
                <w:noProof/>
                <w:webHidden/>
              </w:rPr>
              <w:t>41</w:t>
            </w:r>
            <w:r>
              <w:rPr>
                <w:noProof/>
                <w:webHidden/>
              </w:rPr>
              <w:fldChar w:fldCharType="end"/>
            </w:r>
          </w:hyperlink>
        </w:p>
        <w:p w:rsidR="0021277B" w:rsidRDefault="0021277B">
          <w:pPr>
            <w:pStyle w:val="TOC2"/>
            <w:tabs>
              <w:tab w:val="left" w:pos="1320"/>
            </w:tabs>
            <w:rPr>
              <w:rFonts w:asciiTheme="minorHAnsi" w:hAnsiTheme="minorHAnsi"/>
              <w:noProof/>
              <w:sz w:val="22"/>
            </w:rPr>
          </w:pPr>
          <w:hyperlink w:anchor="_Toc436124919" w:history="1">
            <w:r w:rsidRPr="00453739">
              <w:rPr>
                <w:rStyle w:val="Hyperlink"/>
                <w:rFonts w:cstheme="minorHAnsi"/>
                <w:noProof/>
                <w:lang w:val="sr-Latn-CS"/>
              </w:rPr>
              <w:t>17.4.</w:t>
            </w:r>
            <w:r>
              <w:rPr>
                <w:rFonts w:asciiTheme="minorHAnsi" w:hAnsiTheme="minorHAnsi"/>
                <w:noProof/>
                <w:sz w:val="22"/>
              </w:rPr>
              <w:tab/>
            </w:r>
            <w:r w:rsidRPr="00453739">
              <w:rPr>
                <w:rStyle w:val="Hyperlink"/>
                <w:rFonts w:cstheme="minorHAnsi"/>
                <w:noProof/>
                <w:lang w:val="sr-Latn-CS"/>
              </w:rPr>
              <w:t>Uputstvo za podnošenje ponuda</w:t>
            </w:r>
            <w:r>
              <w:rPr>
                <w:noProof/>
                <w:webHidden/>
              </w:rPr>
              <w:tab/>
            </w:r>
            <w:r>
              <w:rPr>
                <w:noProof/>
                <w:webHidden/>
              </w:rPr>
              <w:fldChar w:fldCharType="begin"/>
            </w:r>
            <w:r>
              <w:rPr>
                <w:noProof/>
                <w:webHidden/>
              </w:rPr>
              <w:instrText xml:space="preserve"> PAGEREF _Toc436124919 \h </w:instrText>
            </w:r>
            <w:r>
              <w:rPr>
                <w:noProof/>
                <w:webHidden/>
              </w:rPr>
            </w:r>
            <w:r>
              <w:rPr>
                <w:noProof/>
                <w:webHidden/>
              </w:rPr>
              <w:fldChar w:fldCharType="separate"/>
            </w:r>
            <w:r>
              <w:rPr>
                <w:noProof/>
                <w:webHidden/>
              </w:rPr>
              <w:t>41</w:t>
            </w:r>
            <w:r>
              <w:rPr>
                <w:noProof/>
                <w:webHidden/>
              </w:rPr>
              <w:fldChar w:fldCharType="end"/>
            </w:r>
          </w:hyperlink>
        </w:p>
        <w:p w:rsidR="0021277B" w:rsidRDefault="0021277B">
          <w:pPr>
            <w:pStyle w:val="TOC1"/>
            <w:rPr>
              <w:rFonts w:asciiTheme="minorHAnsi" w:hAnsiTheme="minorHAnsi"/>
              <w:noProof/>
              <w:sz w:val="22"/>
              <w:szCs w:val="22"/>
            </w:rPr>
          </w:pPr>
          <w:hyperlink w:anchor="_Toc436124920" w:history="1">
            <w:r w:rsidRPr="00453739">
              <w:rPr>
                <w:rStyle w:val="Hyperlink"/>
                <w:rFonts w:cstheme="minorHAnsi"/>
                <w:noProof/>
                <w:lang w:val="sr-Latn-CS"/>
              </w:rPr>
              <w:t>18.</w:t>
            </w:r>
            <w:r>
              <w:rPr>
                <w:rFonts w:asciiTheme="minorHAnsi" w:hAnsiTheme="minorHAnsi"/>
                <w:noProof/>
                <w:sz w:val="22"/>
                <w:szCs w:val="22"/>
              </w:rPr>
              <w:tab/>
            </w:r>
            <w:r w:rsidRPr="00453739">
              <w:rPr>
                <w:rStyle w:val="Hyperlink"/>
                <w:rFonts w:cstheme="minorHAnsi"/>
                <w:noProof/>
                <w:lang w:val="sr-Latn-CS"/>
              </w:rPr>
              <w:t>Spisak propisa koji se primjenjuje u postupku davanja koncesije i u vršenju koncesione djelatnosti</w:t>
            </w:r>
            <w:r>
              <w:rPr>
                <w:noProof/>
                <w:webHidden/>
              </w:rPr>
              <w:tab/>
            </w:r>
            <w:r>
              <w:rPr>
                <w:noProof/>
                <w:webHidden/>
              </w:rPr>
              <w:fldChar w:fldCharType="begin"/>
            </w:r>
            <w:r>
              <w:rPr>
                <w:noProof/>
                <w:webHidden/>
              </w:rPr>
              <w:instrText xml:space="preserve"> PAGEREF _Toc436124920 \h </w:instrText>
            </w:r>
            <w:r>
              <w:rPr>
                <w:noProof/>
                <w:webHidden/>
              </w:rPr>
            </w:r>
            <w:r>
              <w:rPr>
                <w:noProof/>
                <w:webHidden/>
              </w:rPr>
              <w:fldChar w:fldCharType="separate"/>
            </w:r>
            <w:r>
              <w:rPr>
                <w:noProof/>
                <w:webHidden/>
              </w:rPr>
              <w:t>41</w:t>
            </w:r>
            <w:r>
              <w:rPr>
                <w:noProof/>
                <w:webHidden/>
              </w:rPr>
              <w:fldChar w:fldCharType="end"/>
            </w:r>
          </w:hyperlink>
        </w:p>
        <w:p w:rsidR="002A0BEE" w:rsidRDefault="008B7E4F">
          <w:r>
            <w:fldChar w:fldCharType="end"/>
          </w:r>
        </w:p>
      </w:sdtContent>
    </w:sdt>
    <w:p w:rsidR="007F28E5" w:rsidRPr="002A0BEE" w:rsidRDefault="007F28E5" w:rsidP="002E447F">
      <w:pPr>
        <w:spacing w:after="0"/>
        <w:jc w:val="both"/>
        <w:rPr>
          <w:rFonts w:asciiTheme="majorHAnsi" w:hAnsiTheme="majorHAnsi" w:cstheme="minorHAnsi"/>
          <w:szCs w:val="24"/>
          <w:lang w:val="sr-Latn-CS"/>
        </w:rPr>
      </w:pPr>
    </w:p>
    <w:p w:rsidR="007F28E5" w:rsidRPr="002A0BEE" w:rsidRDefault="007F28E5" w:rsidP="002E447F">
      <w:pPr>
        <w:spacing w:after="0"/>
        <w:jc w:val="both"/>
        <w:rPr>
          <w:rFonts w:asciiTheme="majorHAnsi" w:hAnsiTheme="majorHAnsi" w:cstheme="minorHAnsi"/>
          <w:szCs w:val="24"/>
          <w:lang w:val="sr-Latn-CS"/>
        </w:rPr>
      </w:pPr>
    </w:p>
    <w:p w:rsidR="007F28E5" w:rsidRPr="002A0BEE" w:rsidRDefault="007F28E5" w:rsidP="002E447F">
      <w:pPr>
        <w:spacing w:after="0"/>
        <w:jc w:val="both"/>
        <w:rPr>
          <w:rFonts w:asciiTheme="majorHAnsi" w:hAnsiTheme="majorHAnsi" w:cstheme="minorHAnsi"/>
          <w:szCs w:val="24"/>
          <w:lang w:val="sr-Latn-CS"/>
        </w:rPr>
      </w:pPr>
    </w:p>
    <w:p w:rsidR="007F28E5" w:rsidRPr="002A0BEE" w:rsidRDefault="007F28E5" w:rsidP="002E447F">
      <w:pPr>
        <w:spacing w:after="0"/>
        <w:jc w:val="both"/>
        <w:rPr>
          <w:rFonts w:asciiTheme="majorHAnsi" w:hAnsiTheme="majorHAnsi" w:cstheme="minorHAnsi"/>
          <w:szCs w:val="24"/>
          <w:lang w:val="sr-Latn-CS"/>
        </w:rPr>
      </w:pPr>
    </w:p>
    <w:p w:rsidR="007F28E5" w:rsidRPr="002A0BEE" w:rsidRDefault="007F28E5" w:rsidP="002E447F">
      <w:pPr>
        <w:spacing w:after="0"/>
        <w:jc w:val="both"/>
        <w:rPr>
          <w:rFonts w:asciiTheme="majorHAnsi" w:hAnsiTheme="majorHAnsi" w:cstheme="minorHAnsi"/>
          <w:szCs w:val="24"/>
          <w:lang w:val="sr-Latn-CS"/>
        </w:rPr>
      </w:pPr>
    </w:p>
    <w:p w:rsidR="007F28E5" w:rsidRPr="002A0BEE" w:rsidRDefault="007F28E5" w:rsidP="002E447F">
      <w:pPr>
        <w:spacing w:after="0"/>
        <w:jc w:val="both"/>
        <w:rPr>
          <w:rFonts w:asciiTheme="majorHAnsi" w:hAnsiTheme="majorHAnsi" w:cstheme="minorHAnsi"/>
          <w:szCs w:val="24"/>
          <w:lang w:val="sr-Latn-CS"/>
        </w:rPr>
      </w:pPr>
    </w:p>
    <w:p w:rsidR="007F28E5" w:rsidRPr="002A0BEE" w:rsidRDefault="007F28E5" w:rsidP="002E447F">
      <w:pPr>
        <w:spacing w:after="0"/>
        <w:jc w:val="both"/>
        <w:rPr>
          <w:rFonts w:asciiTheme="majorHAnsi" w:hAnsiTheme="majorHAnsi" w:cstheme="minorHAnsi"/>
          <w:szCs w:val="24"/>
          <w:lang w:val="sr-Latn-CS"/>
        </w:rPr>
      </w:pPr>
    </w:p>
    <w:p w:rsidR="009248F4" w:rsidRPr="002A0BEE" w:rsidRDefault="009248F4" w:rsidP="002E447F">
      <w:pPr>
        <w:spacing w:after="0"/>
        <w:rPr>
          <w:rFonts w:asciiTheme="majorHAnsi" w:hAnsiTheme="majorHAnsi" w:cstheme="minorHAnsi"/>
          <w:szCs w:val="24"/>
          <w:lang w:val="sr-Latn-CS"/>
        </w:rPr>
      </w:pPr>
    </w:p>
    <w:p w:rsidR="00A37E81" w:rsidRPr="002A0BEE" w:rsidRDefault="00A37E81" w:rsidP="002E447F">
      <w:pPr>
        <w:spacing w:after="0"/>
        <w:rPr>
          <w:rFonts w:asciiTheme="majorHAnsi" w:hAnsiTheme="majorHAnsi" w:cstheme="minorHAnsi"/>
          <w:szCs w:val="24"/>
          <w:lang w:val="sr-Latn-CS"/>
        </w:rPr>
      </w:pPr>
    </w:p>
    <w:p w:rsidR="009248F4" w:rsidRPr="002A0BEE" w:rsidRDefault="00A16FDD" w:rsidP="0055031D">
      <w:pPr>
        <w:pStyle w:val="Heading1"/>
        <w:numPr>
          <w:ilvl w:val="0"/>
          <w:numId w:val="37"/>
        </w:numPr>
        <w:spacing w:before="0" w:after="200"/>
        <w:rPr>
          <w:rFonts w:asciiTheme="majorHAnsi" w:hAnsiTheme="majorHAnsi" w:cstheme="minorHAnsi"/>
          <w:sz w:val="24"/>
          <w:szCs w:val="24"/>
          <w:lang w:val="sr-Latn-CS"/>
        </w:rPr>
      </w:pPr>
      <w:bookmarkStart w:id="0" w:name="_Toc390336529"/>
      <w:bookmarkStart w:id="1" w:name="_Toc390336654"/>
      <w:bookmarkStart w:id="2" w:name="_Toc390549892"/>
      <w:bookmarkStart w:id="3" w:name="_Toc401959402"/>
      <w:bookmarkStart w:id="4" w:name="_Toc401959495"/>
      <w:bookmarkStart w:id="5" w:name="_Toc435528998"/>
      <w:r w:rsidRPr="002A0BEE">
        <w:rPr>
          <w:rFonts w:asciiTheme="majorHAnsi" w:hAnsiTheme="majorHAnsi" w:cstheme="minorHAnsi"/>
          <w:sz w:val="24"/>
          <w:szCs w:val="24"/>
          <w:lang w:val="sr-Latn-CS"/>
        </w:rPr>
        <w:t xml:space="preserve"> </w:t>
      </w:r>
      <w:bookmarkStart w:id="6" w:name="_Toc436124867"/>
      <w:r w:rsidR="009248F4" w:rsidRPr="002A0BEE">
        <w:rPr>
          <w:rFonts w:asciiTheme="majorHAnsi" w:hAnsiTheme="majorHAnsi" w:cstheme="minorHAnsi"/>
          <w:sz w:val="24"/>
          <w:szCs w:val="24"/>
          <w:lang w:val="sr-Latn-CS"/>
        </w:rPr>
        <w:t>Uvod</w:t>
      </w:r>
      <w:bookmarkEnd w:id="0"/>
      <w:bookmarkEnd w:id="1"/>
      <w:bookmarkEnd w:id="2"/>
      <w:bookmarkEnd w:id="3"/>
      <w:bookmarkEnd w:id="4"/>
      <w:bookmarkEnd w:id="5"/>
      <w:bookmarkEnd w:id="6"/>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U skladu sa Zakonom o koncesijama („Službeni list CG”, broj 08/09) i Planom davanja koncesija za detaljna geološka istraživanja i eksploata</w:t>
      </w:r>
      <w:r w:rsidR="00C23115" w:rsidRPr="002A0BEE">
        <w:rPr>
          <w:rFonts w:asciiTheme="majorHAnsi" w:hAnsiTheme="majorHAnsi" w:cstheme="minorHAnsi"/>
          <w:szCs w:val="24"/>
          <w:lang w:val="sr-Latn-CS"/>
        </w:rPr>
        <w:t>ciju mineralnih sirovina za 2015</w:t>
      </w:r>
      <w:r w:rsidRPr="002A0BEE">
        <w:rPr>
          <w:rFonts w:asciiTheme="majorHAnsi" w:hAnsiTheme="majorHAnsi" w:cstheme="minorHAnsi"/>
          <w:szCs w:val="24"/>
          <w:lang w:val="sr-Latn-CS"/>
        </w:rPr>
        <w:t>. godinu,</w:t>
      </w:r>
      <w:r w:rsidRPr="002A0BEE">
        <w:rPr>
          <w:rFonts w:asciiTheme="majorHAnsi" w:hAnsiTheme="majorHAnsi" w:cstheme="minorHAnsi"/>
          <w:color w:val="FF0000"/>
          <w:szCs w:val="24"/>
          <w:lang w:val="sr-Latn-CS"/>
        </w:rPr>
        <w:t xml:space="preserve"> </w:t>
      </w:r>
      <w:r w:rsidRPr="002A0BEE">
        <w:rPr>
          <w:rFonts w:asciiTheme="majorHAnsi" w:hAnsiTheme="majorHAnsi" w:cstheme="minorHAnsi"/>
          <w:szCs w:val="24"/>
          <w:lang w:val="sr-Latn-CS"/>
        </w:rPr>
        <w:t>Ministarstvo ekonomije Vlade Crne Gore (u daljem tekstu: ministarstvo) je pripremilo Konces</w:t>
      </w:r>
      <w:r w:rsidR="00C508BE" w:rsidRPr="002A0BEE">
        <w:rPr>
          <w:rFonts w:asciiTheme="majorHAnsi" w:hAnsiTheme="majorHAnsi" w:cstheme="minorHAnsi"/>
          <w:szCs w:val="24"/>
          <w:lang w:val="sr-Latn-CS"/>
        </w:rPr>
        <w:t>ioni akt o mineralnoj sirovini</w:t>
      </w:r>
      <w:r w:rsidRPr="002A0BEE">
        <w:rPr>
          <w:rFonts w:asciiTheme="majorHAnsi" w:hAnsiTheme="majorHAnsi" w:cstheme="minorHAnsi"/>
          <w:szCs w:val="24"/>
          <w:lang w:val="sr-Latn-CS"/>
        </w:rPr>
        <w:t xml:space="preserve"> arhitektonsko-građevinskog (ukrasnog) kamena</w:t>
      </w:r>
      <w:r w:rsidR="00752303" w:rsidRPr="002A0BEE">
        <w:rPr>
          <w:rFonts w:asciiTheme="majorHAnsi" w:hAnsiTheme="majorHAnsi" w:cstheme="minorHAnsi"/>
          <w:szCs w:val="24"/>
          <w:lang w:val="sr-Latn-CS"/>
        </w:rPr>
        <w:t xml:space="preserve"> i </w:t>
      </w:r>
      <w:r w:rsidR="00C508BE" w:rsidRPr="002A0BEE">
        <w:rPr>
          <w:rFonts w:asciiTheme="majorHAnsi" w:hAnsiTheme="majorHAnsi" w:cstheme="minorHAnsi"/>
          <w:szCs w:val="24"/>
          <w:lang w:val="sr-Latn-CS"/>
        </w:rPr>
        <w:t>tehničko-građevinskog kamena ležišta “Visočica”, opština Danilovgrad</w:t>
      </w:r>
      <w:r w:rsidRPr="002A0BEE">
        <w:rPr>
          <w:rFonts w:asciiTheme="majorHAnsi" w:hAnsiTheme="majorHAnsi" w:cstheme="minorHAnsi"/>
          <w:szCs w:val="24"/>
          <w:lang w:val="sr-Latn-CS"/>
        </w:rPr>
        <w:t xml:space="preserve"> (u daljem tekstu: Koncesioni akt). Cilj izrade Koncesionog akta je pokretanje postupka javnog nadmetanja za izbor najpovoljnije ponude za dodjelu Ugovora o koncesiji za eksploataciju</w:t>
      </w:r>
      <w:r w:rsidR="00A16FDD" w:rsidRPr="002A0BEE">
        <w:rPr>
          <w:rFonts w:asciiTheme="majorHAnsi" w:hAnsiTheme="majorHAnsi" w:cstheme="minorHAnsi"/>
          <w:szCs w:val="24"/>
          <w:lang w:val="sr-Latn-CS"/>
        </w:rPr>
        <w:t xml:space="preserve"> </w:t>
      </w:r>
      <w:r w:rsidR="00C508BE" w:rsidRPr="002A0BEE">
        <w:rPr>
          <w:rFonts w:asciiTheme="majorHAnsi" w:hAnsiTheme="majorHAnsi" w:cstheme="minorHAnsi"/>
          <w:szCs w:val="24"/>
          <w:lang w:val="sr-Latn-CS"/>
        </w:rPr>
        <w:t xml:space="preserve">mineralne sirovine </w:t>
      </w:r>
      <w:r w:rsidRPr="002A0BEE">
        <w:rPr>
          <w:rFonts w:asciiTheme="majorHAnsi" w:hAnsiTheme="majorHAnsi" w:cstheme="minorHAnsi"/>
          <w:szCs w:val="24"/>
          <w:lang w:val="sr-Latn-CS"/>
        </w:rPr>
        <w:t>arhitektonsko-građevinskog (ukrasnog) kamena</w:t>
      </w:r>
      <w:r w:rsidR="00C508BE" w:rsidRPr="002A0BEE">
        <w:rPr>
          <w:rFonts w:asciiTheme="majorHAnsi" w:hAnsiTheme="majorHAnsi" w:cstheme="minorHAnsi"/>
          <w:szCs w:val="24"/>
          <w:lang w:val="sr-Latn-CS"/>
        </w:rPr>
        <w:t xml:space="preserve"> </w:t>
      </w:r>
      <w:r w:rsidR="00915412" w:rsidRPr="002A0BEE">
        <w:rPr>
          <w:rFonts w:asciiTheme="majorHAnsi" w:hAnsiTheme="majorHAnsi" w:cstheme="minorHAnsi"/>
          <w:szCs w:val="24"/>
          <w:lang w:val="sr-Latn-CS"/>
        </w:rPr>
        <w:t>i</w:t>
      </w:r>
      <w:r w:rsidR="00C508BE" w:rsidRPr="002A0BEE">
        <w:rPr>
          <w:rFonts w:asciiTheme="majorHAnsi" w:hAnsiTheme="majorHAnsi" w:cstheme="minorHAnsi"/>
          <w:szCs w:val="24"/>
          <w:lang w:val="sr-Latn-CS"/>
        </w:rPr>
        <w:t xml:space="preserve"> tehničko-građevinskog kamena ležišta “Visočica”, opština Danilovgrad</w:t>
      </w:r>
      <w:r w:rsidRPr="002A0BEE">
        <w:rPr>
          <w:rFonts w:asciiTheme="majorHAnsi" w:hAnsiTheme="majorHAnsi" w:cstheme="minorHAnsi"/>
          <w:szCs w:val="24"/>
          <w:lang w:val="sr-Latn-CS"/>
        </w:rPr>
        <w:t>.</w:t>
      </w:r>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Inicijativu za izradu Koncesionog akta je u skladu sa članom 17 stav 2 i članom 41 Zakona o ko</w:t>
      </w:r>
      <w:r w:rsidR="00C508BE" w:rsidRPr="002A0BEE">
        <w:rPr>
          <w:rFonts w:asciiTheme="majorHAnsi" w:hAnsiTheme="majorHAnsi" w:cstheme="minorHAnsi"/>
          <w:szCs w:val="24"/>
          <w:lang w:val="sr-Latn-CS"/>
        </w:rPr>
        <w:t>ncesijama podnijelo DOO “Šišković” – Danilovgrad (u daljem tekstu: Podnosioc</w:t>
      </w:r>
      <w:r w:rsidRPr="002A0BEE">
        <w:rPr>
          <w:rFonts w:asciiTheme="majorHAnsi" w:hAnsiTheme="majorHAnsi" w:cstheme="minorHAnsi"/>
          <w:szCs w:val="24"/>
          <w:lang w:val="sr-Latn-CS"/>
        </w:rPr>
        <w:t xml:space="preserve"> inicijative), </w:t>
      </w:r>
      <w:r w:rsidR="00C508BE" w:rsidRPr="002A0BEE">
        <w:rPr>
          <w:rFonts w:asciiTheme="majorHAnsi" w:hAnsiTheme="majorHAnsi" w:cstheme="minorHAnsi"/>
          <w:szCs w:val="24"/>
          <w:lang w:val="sr-Latn-CS"/>
        </w:rPr>
        <w:t xml:space="preserve">br.1112 od 12.12.2014. godine </w:t>
      </w:r>
      <w:r w:rsidRPr="002A0BEE">
        <w:rPr>
          <w:rFonts w:asciiTheme="majorHAnsi" w:hAnsiTheme="majorHAnsi" w:cstheme="minorHAnsi"/>
          <w:szCs w:val="24"/>
          <w:lang w:val="sr-Latn-CS"/>
        </w:rPr>
        <w:t>koja je zavedena u arhivi Ministarstva pod brojem:</w:t>
      </w:r>
      <w:r w:rsidR="00C508BE" w:rsidRPr="002A0BEE">
        <w:rPr>
          <w:rFonts w:asciiTheme="majorHAnsi" w:hAnsiTheme="majorHAnsi" w:cstheme="minorHAnsi"/>
          <w:szCs w:val="24"/>
          <w:lang w:val="sr-Latn-CS"/>
        </w:rPr>
        <w:t xml:space="preserve"> </w:t>
      </w:r>
      <w:r w:rsidR="00915412" w:rsidRPr="002A0BEE">
        <w:rPr>
          <w:rFonts w:asciiTheme="majorHAnsi" w:hAnsiTheme="majorHAnsi" w:cstheme="minorHAnsi"/>
          <w:szCs w:val="24"/>
          <w:lang w:val="sr-Latn-CS"/>
        </w:rPr>
        <w:t>07-</w:t>
      </w:r>
      <w:r w:rsidR="00C508BE" w:rsidRPr="002A0BEE">
        <w:rPr>
          <w:rFonts w:asciiTheme="majorHAnsi" w:hAnsiTheme="majorHAnsi" w:cstheme="minorHAnsi"/>
          <w:szCs w:val="24"/>
          <w:lang w:val="sr-Latn-CS"/>
        </w:rPr>
        <w:t>349/1 od 10.02.2015. godine.</w:t>
      </w:r>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Nakon prihvaćene inicijative od strane ministarstva, isto je uvrstilo pojavu predmetne mineralne sirovine u Plan davanja koncesija za detaljna geološka istraživanja i eksploata</w:t>
      </w:r>
      <w:r w:rsidR="00C508BE" w:rsidRPr="002A0BEE">
        <w:rPr>
          <w:rFonts w:asciiTheme="majorHAnsi" w:hAnsiTheme="majorHAnsi" w:cstheme="minorHAnsi"/>
          <w:szCs w:val="24"/>
          <w:lang w:val="sr-Latn-CS"/>
        </w:rPr>
        <w:t>ciju mineralnih sirovina za 2015</w:t>
      </w:r>
      <w:r w:rsidRPr="002A0BEE">
        <w:rPr>
          <w:rFonts w:asciiTheme="majorHAnsi" w:hAnsiTheme="majorHAnsi" w:cstheme="minorHAnsi"/>
          <w:szCs w:val="24"/>
          <w:lang w:val="sr-Latn-CS"/>
        </w:rPr>
        <w:t>. godinu. V</w:t>
      </w:r>
      <w:r w:rsidR="00C508BE" w:rsidRPr="002A0BEE">
        <w:rPr>
          <w:rFonts w:asciiTheme="majorHAnsi" w:hAnsiTheme="majorHAnsi" w:cstheme="minorHAnsi"/>
          <w:szCs w:val="24"/>
          <w:lang w:val="sr-Latn-CS"/>
        </w:rPr>
        <w:t>lada Crne Gore, na sjednici od 25. juna</w:t>
      </w:r>
      <w:r w:rsidR="00C0190A" w:rsidRPr="002A0BEE">
        <w:rPr>
          <w:rFonts w:asciiTheme="majorHAnsi" w:hAnsiTheme="majorHAnsi" w:cstheme="minorHAnsi"/>
          <w:szCs w:val="24"/>
          <w:lang w:val="sr-Latn-CS"/>
        </w:rPr>
        <w:t xml:space="preserve"> 2015</w:t>
      </w:r>
      <w:r w:rsidRPr="002A0BEE">
        <w:rPr>
          <w:rFonts w:asciiTheme="majorHAnsi" w:hAnsiTheme="majorHAnsi" w:cstheme="minorHAnsi"/>
          <w:szCs w:val="24"/>
          <w:lang w:val="sr-Latn-CS"/>
        </w:rPr>
        <w:t>. godine, donijela Plan davanja koncesija za detaljna geološka istraživanja i eksploata</w:t>
      </w:r>
      <w:r w:rsidR="00C508BE" w:rsidRPr="002A0BEE">
        <w:rPr>
          <w:rFonts w:asciiTheme="majorHAnsi" w:hAnsiTheme="majorHAnsi" w:cstheme="minorHAnsi"/>
          <w:szCs w:val="24"/>
          <w:lang w:val="sr-Latn-CS"/>
        </w:rPr>
        <w:t>ciju mineralnih sirovina za 2015</w:t>
      </w:r>
      <w:r w:rsidRPr="002A0BEE">
        <w:rPr>
          <w:rFonts w:asciiTheme="majorHAnsi" w:hAnsiTheme="majorHAnsi" w:cstheme="minorHAnsi"/>
          <w:szCs w:val="24"/>
          <w:lang w:val="sr-Latn-CS"/>
        </w:rPr>
        <w:t>. godinu i zadužila Ministarstvo da otpočne pripremu koncesionih akata za realizaciju postupka davanja koncesija za detaljna geološka istraživanja i eksploataciju mineralnih sirovina, u skladu sa donijetim Planom.</w:t>
      </w:r>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Na osnovu zaključaka Vlade, ministar</w:t>
      </w:r>
      <w:r w:rsidR="00A16FDD" w:rsidRPr="002A0BEE">
        <w:rPr>
          <w:rFonts w:asciiTheme="majorHAnsi" w:hAnsiTheme="majorHAnsi" w:cstheme="minorHAnsi"/>
          <w:szCs w:val="24"/>
          <w:lang w:val="sr-Latn-CS"/>
        </w:rPr>
        <w:t>stvo je Rješenjem, broj: 01-349/4 od 17.09.2015. godine,</w:t>
      </w:r>
      <w:r w:rsidRPr="002A0BEE">
        <w:rPr>
          <w:rFonts w:asciiTheme="majorHAnsi" w:hAnsiTheme="majorHAnsi" w:cstheme="minorHAnsi"/>
          <w:szCs w:val="24"/>
          <w:lang w:val="sr-Latn-CS"/>
        </w:rPr>
        <w:t xml:space="preserve"> formiralo Radnu grupu koja je pristupila </w:t>
      </w:r>
      <w:r w:rsidR="00A16FDD" w:rsidRPr="002A0BEE">
        <w:rPr>
          <w:rFonts w:asciiTheme="majorHAnsi" w:hAnsiTheme="majorHAnsi" w:cstheme="minorHAnsi"/>
          <w:szCs w:val="24"/>
          <w:lang w:val="sr-Latn-CS"/>
        </w:rPr>
        <w:t>izradi Koncesionog akta o mineralnoj sirovini</w:t>
      </w:r>
      <w:r w:rsidRPr="002A0BEE">
        <w:rPr>
          <w:rFonts w:asciiTheme="majorHAnsi" w:hAnsiTheme="majorHAnsi" w:cstheme="minorHAnsi"/>
          <w:szCs w:val="24"/>
          <w:lang w:val="sr-Latn-CS"/>
        </w:rPr>
        <w:t xml:space="preserve"> arhitektonsko-građevinskog (ukrasnog) kamena </w:t>
      </w:r>
      <w:r w:rsidR="00915412" w:rsidRPr="002A0BEE">
        <w:rPr>
          <w:rFonts w:asciiTheme="majorHAnsi" w:hAnsiTheme="majorHAnsi" w:cstheme="minorHAnsi"/>
          <w:szCs w:val="24"/>
          <w:lang w:val="sr-Latn-CS"/>
        </w:rPr>
        <w:t>i</w:t>
      </w:r>
      <w:r w:rsidR="00A16FDD" w:rsidRPr="002A0BEE">
        <w:rPr>
          <w:rFonts w:asciiTheme="majorHAnsi" w:hAnsiTheme="majorHAnsi" w:cstheme="minorHAnsi"/>
          <w:szCs w:val="24"/>
          <w:lang w:val="sr-Latn-CS"/>
        </w:rPr>
        <w:t xml:space="preserve"> tehničko-građevinskog kamena ležišta “Visočica”, opština Danilovgrad</w:t>
      </w:r>
      <w:r w:rsidRPr="002A0BEE">
        <w:rPr>
          <w:rFonts w:asciiTheme="majorHAnsi" w:hAnsiTheme="majorHAnsi" w:cstheme="minorHAnsi"/>
          <w:szCs w:val="24"/>
          <w:lang w:val="sr-Latn-CS"/>
        </w:rPr>
        <w:t>.</w:t>
      </w:r>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U skladu sa članom 8 stav 3 Zakona o koncesijama, prije upućivanja Koncesionog akta Vladi na usvajanje, ministarstvo organizuje i sprovodi javnu raspravu u roku od 15 do 30 dana od dana upućivanja javnog poziva za javnu raspravu.</w:t>
      </w:r>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Poslije sprovedene javne rasprave, Ministarstvo dostavlja Vladi, u skladu sa članom 8 stav 6 Zakona o koncesijama, Koncesioni akt sa Izvještajem sa javne rasprave na usvajanje.</w:t>
      </w:r>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Nakon usvajanja Koncesionog akta od strane Vlade, Ministarstvo objavljuje Javni poziv za</w:t>
      </w:r>
      <w:r w:rsidR="00A16FDD" w:rsidRPr="002A0BEE">
        <w:rPr>
          <w:rFonts w:asciiTheme="majorHAnsi" w:hAnsiTheme="majorHAnsi" w:cstheme="minorHAnsi"/>
          <w:szCs w:val="24"/>
          <w:lang w:val="sr-Latn-CS"/>
        </w:rPr>
        <w:t xml:space="preserve"> davanje koncesije za eksploataciju </w:t>
      </w:r>
      <w:r w:rsidRPr="002A0BEE">
        <w:rPr>
          <w:rFonts w:asciiTheme="majorHAnsi" w:hAnsiTheme="majorHAnsi" w:cstheme="minorHAnsi"/>
          <w:szCs w:val="24"/>
          <w:lang w:val="sr-Latn-CS"/>
        </w:rPr>
        <w:t xml:space="preserve"> mineralne sirovine arhitektonsko-građevinskog </w:t>
      </w:r>
      <w:r w:rsidRPr="002A0BEE">
        <w:rPr>
          <w:rFonts w:asciiTheme="majorHAnsi" w:hAnsiTheme="majorHAnsi" w:cstheme="minorHAnsi"/>
          <w:szCs w:val="24"/>
          <w:lang w:val="sr-Latn-CS"/>
        </w:rPr>
        <w:lastRenderedPageBreak/>
        <w:t xml:space="preserve">(ukrasnog) kamena </w:t>
      </w:r>
      <w:r w:rsidR="00915412" w:rsidRPr="002A0BEE">
        <w:rPr>
          <w:rFonts w:asciiTheme="majorHAnsi" w:hAnsiTheme="majorHAnsi" w:cstheme="minorHAnsi"/>
          <w:szCs w:val="24"/>
          <w:lang w:val="sr-Latn-CS"/>
        </w:rPr>
        <w:t>i</w:t>
      </w:r>
      <w:r w:rsidR="00A16FDD" w:rsidRPr="002A0BEE">
        <w:rPr>
          <w:rFonts w:asciiTheme="majorHAnsi" w:hAnsiTheme="majorHAnsi" w:cstheme="minorHAnsi"/>
          <w:szCs w:val="24"/>
          <w:lang w:val="sr-Latn-CS"/>
        </w:rPr>
        <w:t xml:space="preserve"> tehničko-građevinskog kamena ležišta </w:t>
      </w:r>
      <w:r w:rsidRPr="002A0BEE">
        <w:rPr>
          <w:rFonts w:asciiTheme="majorHAnsi" w:hAnsiTheme="majorHAnsi" w:cstheme="minorHAnsi"/>
          <w:szCs w:val="24"/>
          <w:lang w:val="sr-Latn-CS"/>
        </w:rPr>
        <w:t>”</w:t>
      </w:r>
      <w:r w:rsidR="00A16FDD" w:rsidRPr="002A0BEE">
        <w:rPr>
          <w:rFonts w:asciiTheme="majorHAnsi" w:hAnsiTheme="majorHAnsi" w:cstheme="minorHAnsi"/>
          <w:szCs w:val="24"/>
          <w:lang w:val="sr-Latn-CS"/>
        </w:rPr>
        <w:t>Visočica”, opština Danilovgrad</w:t>
      </w:r>
      <w:r w:rsidRPr="002A0BEE">
        <w:rPr>
          <w:rFonts w:asciiTheme="majorHAnsi" w:hAnsiTheme="majorHAnsi" w:cstheme="minorHAnsi"/>
          <w:szCs w:val="24"/>
          <w:lang w:val="sr-Latn-CS"/>
        </w:rPr>
        <w:t>.</w:t>
      </w:r>
    </w:p>
    <w:p w:rsidR="009248F4" w:rsidRPr="002A0BEE" w:rsidRDefault="00A16FDD" w:rsidP="006F3C68">
      <w:pPr>
        <w:jc w:val="both"/>
        <w:rPr>
          <w:rFonts w:asciiTheme="majorHAnsi" w:hAnsiTheme="majorHAnsi" w:cstheme="minorHAnsi"/>
          <w:szCs w:val="24"/>
          <w:lang w:val="sr-Latn-CS" w:eastAsia="sl-SI"/>
        </w:rPr>
      </w:pPr>
      <w:r w:rsidRPr="002A0BEE">
        <w:rPr>
          <w:rFonts w:asciiTheme="majorHAnsi" w:hAnsiTheme="majorHAnsi" w:cstheme="minorHAnsi"/>
          <w:szCs w:val="24"/>
          <w:lang w:val="sr-Latn-CS" w:eastAsia="sl-SI"/>
        </w:rPr>
        <w:t xml:space="preserve">Koncesija za </w:t>
      </w:r>
      <w:r w:rsidR="009248F4" w:rsidRPr="002A0BEE">
        <w:rPr>
          <w:rFonts w:asciiTheme="majorHAnsi" w:hAnsiTheme="majorHAnsi" w:cstheme="minorHAnsi"/>
          <w:szCs w:val="24"/>
          <w:lang w:val="sr-Latn-CS"/>
        </w:rPr>
        <w:t xml:space="preserve">eksploataciju arhitektonsko-građevinskog (ukrasnog) kamena </w:t>
      </w:r>
      <w:r w:rsidR="00915412" w:rsidRPr="002A0BEE">
        <w:rPr>
          <w:rFonts w:asciiTheme="majorHAnsi" w:hAnsiTheme="majorHAnsi" w:cstheme="minorHAnsi"/>
          <w:szCs w:val="24"/>
          <w:lang w:val="sr-Latn-CS"/>
        </w:rPr>
        <w:t>i</w:t>
      </w:r>
      <w:r w:rsidRPr="002A0BEE">
        <w:rPr>
          <w:rFonts w:asciiTheme="majorHAnsi" w:hAnsiTheme="majorHAnsi" w:cstheme="minorHAnsi"/>
          <w:szCs w:val="24"/>
          <w:lang w:val="sr-Latn-CS"/>
        </w:rPr>
        <w:t xml:space="preserve"> tehničko-građevinskog kamena ležišta “Visočica”, opština Danilovgrad</w:t>
      </w:r>
      <w:r w:rsidR="009248F4" w:rsidRPr="002A0BEE">
        <w:rPr>
          <w:rFonts w:asciiTheme="majorHAnsi" w:hAnsiTheme="majorHAnsi" w:cstheme="minorHAnsi"/>
          <w:szCs w:val="24"/>
          <w:lang w:val="sr-Latn-CS"/>
        </w:rPr>
        <w:t>, se daje</w:t>
      </w:r>
      <w:r w:rsidR="009248F4" w:rsidRPr="002A0BEE">
        <w:rPr>
          <w:rFonts w:asciiTheme="majorHAnsi" w:hAnsiTheme="majorHAnsi" w:cstheme="minorHAnsi"/>
          <w:szCs w:val="24"/>
          <w:lang w:val="sr-Latn-CS" w:eastAsia="sl-SI"/>
        </w:rPr>
        <w:t xml:space="preserve"> putem javnog nadmetanja u otvorenom postupku, na način propisan Zakonom o koncesijama.</w:t>
      </w:r>
    </w:p>
    <w:p w:rsidR="009248F4" w:rsidRPr="002A0BEE" w:rsidRDefault="009248F4" w:rsidP="006F3C68">
      <w:pPr>
        <w:jc w:val="both"/>
        <w:rPr>
          <w:rFonts w:asciiTheme="majorHAnsi" w:hAnsiTheme="majorHAnsi" w:cstheme="minorHAnsi"/>
          <w:szCs w:val="24"/>
          <w:lang w:val="sr-Latn-CS" w:eastAsia="sl-SI"/>
        </w:rPr>
      </w:pPr>
      <w:r w:rsidRPr="002A0BEE">
        <w:rPr>
          <w:rFonts w:asciiTheme="majorHAnsi" w:hAnsiTheme="majorHAnsi" w:cstheme="minorHAnsi"/>
          <w:szCs w:val="24"/>
          <w:lang w:val="sr-Latn-CS" w:eastAsia="sl-SI"/>
        </w:rPr>
        <w:t>Ponuđač dostavlja ponudu na osnovu javnog oglasa za davanje koncesije. Rok za dostavljanje ponuda iznosi jedan</w:t>
      </w:r>
      <w:r w:rsidRPr="002A0BEE">
        <w:rPr>
          <w:rFonts w:asciiTheme="majorHAnsi" w:hAnsiTheme="majorHAnsi" w:cstheme="minorHAnsi"/>
          <w:color w:val="FF0000"/>
          <w:szCs w:val="24"/>
          <w:lang w:val="sr-Latn-CS" w:eastAsia="sl-SI"/>
        </w:rPr>
        <w:t xml:space="preserve"> </w:t>
      </w:r>
      <w:r w:rsidRPr="002A0BEE">
        <w:rPr>
          <w:rFonts w:asciiTheme="majorHAnsi" w:hAnsiTheme="majorHAnsi" w:cstheme="minorHAnsi"/>
          <w:szCs w:val="24"/>
          <w:lang w:val="sr-Latn-CS" w:eastAsia="sl-SI"/>
        </w:rPr>
        <w:t>mjesec od dana objavljivanja javnog oglasa u ’’Službenom listu Crne Gore’’.</w:t>
      </w:r>
    </w:p>
    <w:p w:rsidR="006F3C68" w:rsidRPr="002A0BEE" w:rsidRDefault="006F3C68" w:rsidP="006F3C68">
      <w:pPr>
        <w:jc w:val="both"/>
        <w:rPr>
          <w:rFonts w:asciiTheme="majorHAnsi" w:hAnsiTheme="majorHAnsi" w:cstheme="minorHAnsi"/>
          <w:szCs w:val="24"/>
          <w:lang w:val="sr-Latn-CS" w:eastAsia="sl-SI"/>
        </w:rPr>
      </w:pPr>
    </w:p>
    <w:p w:rsidR="009248F4" w:rsidRPr="002A0BEE" w:rsidRDefault="00A16FDD" w:rsidP="0055031D">
      <w:pPr>
        <w:pStyle w:val="Heading1"/>
        <w:numPr>
          <w:ilvl w:val="0"/>
          <w:numId w:val="37"/>
        </w:numPr>
        <w:spacing w:before="0" w:after="200"/>
        <w:jc w:val="both"/>
        <w:rPr>
          <w:rFonts w:asciiTheme="majorHAnsi" w:hAnsiTheme="majorHAnsi" w:cstheme="minorHAnsi"/>
          <w:sz w:val="24"/>
          <w:szCs w:val="24"/>
          <w:lang w:val="sr-Latn-CS"/>
        </w:rPr>
      </w:pPr>
      <w:bookmarkStart w:id="7" w:name="_Toc390336530"/>
      <w:bookmarkStart w:id="8" w:name="_Toc390336655"/>
      <w:bookmarkStart w:id="9" w:name="_Toc390549893"/>
      <w:bookmarkStart w:id="10" w:name="_Toc401959403"/>
      <w:bookmarkStart w:id="11" w:name="_Toc401959496"/>
      <w:bookmarkStart w:id="12" w:name="_Toc435528999"/>
      <w:bookmarkStart w:id="13" w:name="_Toc436124868"/>
      <w:r w:rsidRPr="002A0BEE">
        <w:rPr>
          <w:rFonts w:asciiTheme="majorHAnsi" w:hAnsiTheme="majorHAnsi" w:cstheme="minorHAnsi"/>
          <w:sz w:val="24"/>
          <w:szCs w:val="24"/>
          <w:lang w:val="sr-Latn-CS"/>
        </w:rPr>
        <w:t xml:space="preserve">Tehnički izvještaj o arhitektonsko-građevinskom (ukrasnom) kamenu i tehničko-građevinskom kamenu ležišta </w:t>
      </w:r>
      <w:r w:rsidR="009248F4" w:rsidRPr="002A0BEE">
        <w:rPr>
          <w:rFonts w:asciiTheme="majorHAnsi" w:hAnsiTheme="majorHAnsi" w:cstheme="minorHAnsi"/>
          <w:sz w:val="24"/>
          <w:szCs w:val="24"/>
          <w:lang w:val="sr-Latn-CS"/>
        </w:rPr>
        <w:t>„</w:t>
      </w:r>
      <w:bookmarkEnd w:id="7"/>
      <w:bookmarkEnd w:id="8"/>
      <w:bookmarkEnd w:id="9"/>
      <w:bookmarkEnd w:id="10"/>
      <w:bookmarkEnd w:id="11"/>
      <w:r w:rsidRPr="002A0BEE">
        <w:rPr>
          <w:rFonts w:asciiTheme="majorHAnsi" w:hAnsiTheme="majorHAnsi" w:cstheme="minorHAnsi"/>
          <w:sz w:val="24"/>
          <w:szCs w:val="24"/>
          <w:lang w:val="sr-Latn-CS"/>
        </w:rPr>
        <w:t>Visočica“</w:t>
      </w:r>
      <w:bookmarkEnd w:id="12"/>
      <w:bookmarkEnd w:id="13"/>
    </w:p>
    <w:p w:rsidR="009248F4" w:rsidRPr="002A0BEE" w:rsidRDefault="009248F4" w:rsidP="006F3C68">
      <w:pPr>
        <w:pStyle w:val="ListParagraph"/>
        <w:numPr>
          <w:ilvl w:val="0"/>
          <w:numId w:val="1"/>
        </w:numPr>
        <w:tabs>
          <w:tab w:val="left" w:pos="1170"/>
        </w:tabs>
        <w:contextualSpacing w:val="0"/>
        <w:rPr>
          <w:rFonts w:asciiTheme="majorHAnsi" w:hAnsiTheme="majorHAnsi" w:cstheme="minorHAnsi"/>
          <w:b/>
          <w:vanish/>
          <w:szCs w:val="24"/>
          <w:lang w:val="sr-Latn-CS"/>
        </w:rPr>
      </w:pPr>
    </w:p>
    <w:p w:rsidR="009248F4" w:rsidRPr="002A0BEE" w:rsidRDefault="009248F4" w:rsidP="006F3C68">
      <w:pPr>
        <w:pStyle w:val="ListParagraph"/>
        <w:numPr>
          <w:ilvl w:val="0"/>
          <w:numId w:val="1"/>
        </w:numPr>
        <w:tabs>
          <w:tab w:val="left" w:pos="1170"/>
        </w:tabs>
        <w:contextualSpacing w:val="0"/>
        <w:rPr>
          <w:rFonts w:asciiTheme="majorHAnsi" w:hAnsiTheme="majorHAnsi" w:cstheme="minorHAnsi"/>
          <w:b/>
          <w:vanish/>
          <w:szCs w:val="24"/>
          <w:lang w:val="sr-Latn-CS"/>
        </w:rPr>
      </w:pPr>
    </w:p>
    <w:p w:rsidR="009248F4" w:rsidRPr="002A0BEE" w:rsidRDefault="009248F4" w:rsidP="006F3C68">
      <w:pPr>
        <w:pStyle w:val="ListParagraph"/>
        <w:numPr>
          <w:ilvl w:val="0"/>
          <w:numId w:val="10"/>
        </w:numPr>
        <w:tabs>
          <w:tab w:val="left" w:pos="1170"/>
        </w:tabs>
        <w:contextualSpacing w:val="0"/>
        <w:rPr>
          <w:rFonts w:asciiTheme="majorHAnsi" w:hAnsiTheme="majorHAnsi" w:cstheme="minorHAnsi"/>
          <w:b/>
          <w:vanish/>
          <w:szCs w:val="24"/>
          <w:lang w:val="sr-Latn-CS"/>
        </w:rPr>
      </w:pPr>
    </w:p>
    <w:p w:rsidR="009248F4" w:rsidRPr="002A0BEE" w:rsidRDefault="009248F4" w:rsidP="006F3C68">
      <w:pPr>
        <w:pStyle w:val="ListParagraph"/>
        <w:numPr>
          <w:ilvl w:val="0"/>
          <w:numId w:val="10"/>
        </w:numPr>
        <w:tabs>
          <w:tab w:val="left" w:pos="1170"/>
        </w:tabs>
        <w:contextualSpacing w:val="0"/>
        <w:rPr>
          <w:rFonts w:asciiTheme="majorHAnsi" w:hAnsiTheme="majorHAnsi" w:cstheme="minorHAnsi"/>
          <w:b/>
          <w:vanish/>
          <w:szCs w:val="24"/>
          <w:lang w:val="sr-Latn-CS"/>
        </w:rPr>
      </w:pPr>
    </w:p>
    <w:p w:rsidR="009248F4" w:rsidRPr="002A0BEE" w:rsidRDefault="00A16FDD" w:rsidP="006F3C68">
      <w:pPr>
        <w:pStyle w:val="Heading2"/>
        <w:numPr>
          <w:ilvl w:val="1"/>
          <w:numId w:val="10"/>
        </w:numPr>
        <w:spacing w:before="0" w:after="200"/>
        <w:rPr>
          <w:rFonts w:cstheme="minorHAnsi"/>
          <w:szCs w:val="24"/>
          <w:lang w:val="sr-Latn-CS"/>
        </w:rPr>
      </w:pPr>
      <w:bookmarkStart w:id="14" w:name="_Toc401959404"/>
      <w:bookmarkStart w:id="15" w:name="_Toc401959497"/>
      <w:bookmarkStart w:id="16" w:name="_Toc435529000"/>
      <w:r w:rsidRPr="002A0BEE">
        <w:rPr>
          <w:rFonts w:cstheme="minorHAnsi"/>
          <w:szCs w:val="24"/>
          <w:lang w:val="sr-Latn-CS"/>
        </w:rPr>
        <w:t xml:space="preserve"> </w:t>
      </w:r>
      <w:bookmarkStart w:id="17" w:name="_Toc436124869"/>
      <w:r w:rsidR="009248F4" w:rsidRPr="002A0BEE">
        <w:rPr>
          <w:rFonts w:cstheme="minorHAnsi"/>
          <w:szCs w:val="24"/>
          <w:lang w:val="sr-Latn-CS"/>
        </w:rPr>
        <w:t>Predmet Koncesionog akta</w:t>
      </w:r>
      <w:bookmarkEnd w:id="14"/>
      <w:bookmarkEnd w:id="15"/>
      <w:bookmarkEnd w:id="16"/>
      <w:bookmarkEnd w:id="17"/>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Predmet ovog Koncesionog akta je</w:t>
      </w:r>
      <w:r w:rsidR="00A16FD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mine</w:t>
      </w:r>
      <w:r w:rsidR="00A16FDD" w:rsidRPr="002A0BEE">
        <w:rPr>
          <w:rFonts w:asciiTheme="majorHAnsi" w:hAnsiTheme="majorHAnsi" w:cstheme="minorHAnsi"/>
          <w:szCs w:val="24"/>
          <w:lang w:val="sr-Latn-CS"/>
        </w:rPr>
        <w:t>ralna</w:t>
      </w:r>
      <w:r w:rsidRPr="002A0BEE">
        <w:rPr>
          <w:rFonts w:asciiTheme="majorHAnsi" w:hAnsiTheme="majorHAnsi" w:cstheme="minorHAnsi"/>
          <w:szCs w:val="24"/>
          <w:lang w:val="sr-Latn-CS"/>
        </w:rPr>
        <w:t xml:space="preserve"> </w:t>
      </w:r>
      <w:r w:rsidR="0083345D" w:rsidRPr="002A0BEE">
        <w:rPr>
          <w:rFonts w:asciiTheme="majorHAnsi" w:hAnsiTheme="majorHAnsi" w:cstheme="minorHAnsi"/>
          <w:szCs w:val="24"/>
          <w:lang w:val="sr-Latn-CS"/>
        </w:rPr>
        <w:t xml:space="preserve">sirovina </w:t>
      </w:r>
      <w:r w:rsidRPr="002A0BEE">
        <w:rPr>
          <w:rFonts w:asciiTheme="majorHAnsi" w:hAnsiTheme="majorHAnsi" w:cstheme="minorHAnsi"/>
          <w:szCs w:val="24"/>
          <w:lang w:val="sr-Latn-CS"/>
        </w:rPr>
        <w:t>arhitektonsko-građ</w:t>
      </w:r>
      <w:r w:rsidR="00A16FDD" w:rsidRPr="002A0BEE">
        <w:rPr>
          <w:rFonts w:asciiTheme="majorHAnsi" w:hAnsiTheme="majorHAnsi" w:cstheme="minorHAnsi"/>
          <w:szCs w:val="24"/>
          <w:lang w:val="sr-Latn-CS"/>
        </w:rPr>
        <w:t>evinski</w:t>
      </w:r>
      <w:r w:rsidRPr="002A0BEE">
        <w:rPr>
          <w:rFonts w:asciiTheme="majorHAnsi" w:hAnsiTheme="majorHAnsi" w:cstheme="minorHAnsi"/>
          <w:szCs w:val="24"/>
          <w:lang w:val="sr-Latn-CS"/>
        </w:rPr>
        <w:t xml:space="preserve"> (</w:t>
      </w:r>
      <w:r w:rsidR="00A16FDD" w:rsidRPr="002A0BEE">
        <w:rPr>
          <w:rFonts w:asciiTheme="majorHAnsi" w:hAnsiTheme="majorHAnsi" w:cstheme="minorHAnsi"/>
          <w:szCs w:val="24"/>
          <w:lang w:val="sr-Latn-CS"/>
        </w:rPr>
        <w:t>ukrasni</w:t>
      </w:r>
      <w:r w:rsidRPr="002A0BEE">
        <w:rPr>
          <w:rFonts w:asciiTheme="majorHAnsi" w:hAnsiTheme="majorHAnsi" w:cstheme="minorHAnsi"/>
          <w:szCs w:val="24"/>
          <w:lang w:val="sr-Latn-CS"/>
        </w:rPr>
        <w:t>) kamen</w:t>
      </w:r>
      <w:r w:rsidR="00A16FDD" w:rsidRPr="002A0BEE">
        <w:rPr>
          <w:rFonts w:asciiTheme="majorHAnsi" w:hAnsiTheme="majorHAnsi" w:cstheme="minorHAnsi"/>
          <w:szCs w:val="24"/>
          <w:lang w:val="sr-Latn-CS"/>
        </w:rPr>
        <w:t xml:space="preserve"> i tehničko-građevinski kamen ležišta „Visočica“, opština Danilovgrad.</w:t>
      </w:r>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Rješenjem Ministarstva, br</w:t>
      </w:r>
      <w:r w:rsidR="00A16FDD" w:rsidRPr="002A0BEE">
        <w:rPr>
          <w:rFonts w:asciiTheme="majorHAnsi" w:hAnsiTheme="majorHAnsi" w:cstheme="minorHAnsi"/>
          <w:szCs w:val="24"/>
          <w:lang w:val="sr-Latn-CS"/>
        </w:rPr>
        <w:t>oj: 01-349/4</w:t>
      </w:r>
      <w:r w:rsidRPr="002A0BEE">
        <w:rPr>
          <w:rFonts w:asciiTheme="majorHAnsi" w:hAnsiTheme="majorHAnsi" w:cstheme="minorHAnsi"/>
          <w:szCs w:val="24"/>
          <w:lang w:val="sr-Latn-CS"/>
        </w:rPr>
        <w:t xml:space="preserve"> od</w:t>
      </w:r>
      <w:r w:rsidR="00A16FDD" w:rsidRPr="002A0BEE">
        <w:rPr>
          <w:rFonts w:asciiTheme="majorHAnsi" w:hAnsiTheme="majorHAnsi" w:cstheme="minorHAnsi"/>
          <w:szCs w:val="24"/>
          <w:lang w:val="sr-Latn-CS"/>
        </w:rPr>
        <w:t xml:space="preserve"> 17.09.2015</w:t>
      </w:r>
      <w:r w:rsidRPr="002A0BEE">
        <w:rPr>
          <w:rFonts w:asciiTheme="majorHAnsi" w:hAnsiTheme="majorHAnsi" w:cstheme="minorHAnsi"/>
          <w:szCs w:val="24"/>
          <w:lang w:val="sr-Latn-CS"/>
        </w:rPr>
        <w:t xml:space="preserve">.  godine, obrazovana je stručna Radna grupa za izradu Koncesionog akta </w:t>
      </w:r>
      <w:r w:rsidR="00A16FDD" w:rsidRPr="002A0BEE">
        <w:rPr>
          <w:rFonts w:asciiTheme="majorHAnsi" w:hAnsiTheme="majorHAnsi" w:cstheme="minorHAnsi"/>
          <w:szCs w:val="24"/>
          <w:lang w:val="sr-Latn-CS"/>
        </w:rPr>
        <w:t>o mineraln</w:t>
      </w:r>
      <w:r w:rsidR="00483399" w:rsidRPr="002A0BEE">
        <w:rPr>
          <w:rFonts w:asciiTheme="majorHAnsi" w:hAnsiTheme="majorHAnsi" w:cstheme="minorHAnsi"/>
          <w:szCs w:val="24"/>
          <w:lang w:val="sr-Latn-CS"/>
        </w:rPr>
        <w:t>o</w:t>
      </w:r>
      <w:r w:rsidR="00A16FDD" w:rsidRPr="002A0BEE">
        <w:rPr>
          <w:rFonts w:asciiTheme="majorHAnsi" w:hAnsiTheme="majorHAnsi" w:cstheme="minorHAnsi"/>
          <w:szCs w:val="24"/>
          <w:lang w:val="sr-Latn-CS"/>
        </w:rPr>
        <w:t xml:space="preserve">j sirovini </w:t>
      </w:r>
      <w:r w:rsidRPr="002A0BEE">
        <w:rPr>
          <w:rFonts w:asciiTheme="majorHAnsi" w:hAnsiTheme="majorHAnsi" w:cstheme="minorHAnsi"/>
          <w:szCs w:val="24"/>
          <w:lang w:val="sr-Latn-CS"/>
        </w:rPr>
        <w:t>arhitektonsko-građevinskog (ukrasnog)</w:t>
      </w:r>
      <w:r w:rsidR="00A16FDD" w:rsidRPr="002A0BEE">
        <w:rPr>
          <w:rFonts w:asciiTheme="majorHAnsi" w:hAnsiTheme="majorHAnsi" w:cstheme="minorHAnsi"/>
          <w:szCs w:val="24"/>
          <w:lang w:val="sr-Latn-CS"/>
        </w:rPr>
        <w:t xml:space="preserve"> i tehničko-građevinskog kamena ležišta </w:t>
      </w:r>
      <w:r w:rsidRPr="002A0BEE">
        <w:rPr>
          <w:rFonts w:asciiTheme="majorHAnsi" w:hAnsiTheme="majorHAnsi" w:cstheme="minorHAnsi"/>
          <w:szCs w:val="24"/>
          <w:lang w:val="sr-Latn-CS"/>
        </w:rPr>
        <w:t xml:space="preserve"> „</w:t>
      </w:r>
      <w:r w:rsidR="00A16FDD" w:rsidRPr="002A0BEE">
        <w:rPr>
          <w:rFonts w:asciiTheme="majorHAnsi" w:hAnsiTheme="majorHAnsi" w:cstheme="minorHAnsi"/>
          <w:szCs w:val="24"/>
          <w:lang w:val="sr-Latn-CS"/>
        </w:rPr>
        <w:t>Visočica“, opština Danilovgrad</w:t>
      </w:r>
      <w:r w:rsidRPr="002A0BEE">
        <w:rPr>
          <w:rFonts w:asciiTheme="majorHAnsi" w:hAnsiTheme="majorHAnsi" w:cstheme="minorHAnsi"/>
          <w:szCs w:val="24"/>
          <w:lang w:val="sr-Latn-CS"/>
        </w:rPr>
        <w:t>.</w:t>
      </w:r>
    </w:p>
    <w:p w:rsidR="009248F4" w:rsidRPr="002A0BEE" w:rsidRDefault="009248F4" w:rsidP="006F3C68">
      <w:pPr>
        <w:pStyle w:val="Heading2"/>
        <w:numPr>
          <w:ilvl w:val="1"/>
          <w:numId w:val="10"/>
        </w:numPr>
        <w:spacing w:before="0" w:after="200"/>
        <w:rPr>
          <w:rFonts w:cstheme="minorHAnsi"/>
          <w:szCs w:val="24"/>
          <w:lang w:val="sr-Latn-CS"/>
        </w:rPr>
      </w:pPr>
      <w:bookmarkStart w:id="18" w:name="_Toc401959405"/>
      <w:bookmarkStart w:id="19" w:name="_Toc401959498"/>
      <w:bookmarkStart w:id="20" w:name="_Toc435529001"/>
      <w:bookmarkStart w:id="21" w:name="_Toc436124870"/>
      <w:r w:rsidRPr="002A0BEE">
        <w:rPr>
          <w:rFonts w:cstheme="minorHAnsi"/>
          <w:szCs w:val="24"/>
          <w:lang w:val="sr-Latn-CS"/>
        </w:rPr>
        <w:t>Položaj i opis lokacije istražno-eksploatacionog prostora</w:t>
      </w:r>
      <w:bookmarkEnd w:id="18"/>
      <w:bookmarkEnd w:id="19"/>
      <w:bookmarkEnd w:id="20"/>
      <w:bookmarkEnd w:id="21"/>
    </w:p>
    <w:p w:rsidR="00A16FDD" w:rsidRPr="002A0BEE" w:rsidRDefault="00A16FDD" w:rsidP="006F3C68">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Brdo Visočica je udaljeno oko 1 km od Spuža i nalazi se na lijevoj obali rijeke Zete. Administrativno pripada opštini Danilovgrad i nalazi se na topografskom listu ”Danilovgrad”, 1:100 000, odnosno sekciji ”Spuž”, 1:25 000.</w:t>
      </w:r>
    </w:p>
    <w:p w:rsidR="00A16FDD" w:rsidRPr="002A0BEE" w:rsidRDefault="00A16FDD" w:rsidP="006F3C68">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Nadmorska visina Visočice je 153,9 m, a nadmorska visina ravnice u neposrednoj blizini ovog i nekoliko okolnih uzvišenja iznosi od 55 do 65 m. Duža osa ima pravac pružanja ZSZ - IJI i dužine je oko 500 m, dok kraća osa ima dužinu od oko 400 m i orijentisana je u pravcu SSZ - JJI.</w:t>
      </w:r>
    </w:p>
    <w:p w:rsidR="00A16FDD" w:rsidRPr="002A0BEE" w:rsidRDefault="00A16FDD" w:rsidP="006F3C68">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Prostor predviđen za eksploataciju arhitektonsko-građevinskog (ukrasnog) kamena nalazi se na istočnoj strani brda, dok se na zapadnoj i sjevernoj strani nalazi dio brda koji se koristi za eksploataciju tehničko-građevinskog kamena.</w:t>
      </w:r>
    </w:p>
    <w:p w:rsidR="00A16FDD" w:rsidRPr="002A0BEE" w:rsidRDefault="00A16FDD" w:rsidP="006F3C68">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Područje Visočice je asfaltnim putem, dužine oko 1 km, povezano sa varošicom Spuž, kao i sa željezničkom stanicom. Ovaj prostor je preko Spuža dalje povezan sa Podgoricom, a sa asfaltnim putem preko Martinića sa Danilovgradom.</w:t>
      </w:r>
    </w:p>
    <w:p w:rsidR="00A16FDD" w:rsidRPr="002A0BEE" w:rsidRDefault="00A16FDD" w:rsidP="006F3C68">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lastRenderedPageBreak/>
        <w:t>Brdo Visočica se, sa još nekoliko manjih brda, naglo uzdiže iz Bjelopavlićke ravnice, u vidu je nepravilne spljoštene kupe, a duža osa ima pravac pružanja ZSZ - IJI.</w:t>
      </w:r>
    </w:p>
    <w:p w:rsidR="00A16FDD" w:rsidRPr="002A0BEE" w:rsidRDefault="00A16FDD" w:rsidP="006F3C68">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U blizini Visočice su uzvišenja: Spuška glavica, Merat, Ober, Maljat, Duga glavica i Kukoševina. Ova se uzvišenja, u vidu pravilno poređanih nizova, izdižu iz aluvijalne ravnice. U pravcu pružanja duže ose (ZSZ - IJI), dalje se pruža dolina rijeke Zete, dok se u pravcu JZ (na razdiljini od oko 2 km) izdiže krečnjački plato Klikovače. Na SI su strme krečnjačko - flišne strane Gradine i Crnca, koje prelaze u vertikalne ostenjake Kopilja i Gostilja.</w:t>
      </w:r>
    </w:p>
    <w:p w:rsidR="00A16FDD" w:rsidRPr="002A0BEE" w:rsidRDefault="00A16FDD" w:rsidP="006F3C68">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Od stalnih vodotoka, u blizini Visočice protiču rijeka Zeta sa zapadne i južne strane i potok Rimanić sa istočne strane (na udaljenosti od oko 500 m), koji se uliva u Zetu u blizini Spuža.</w:t>
      </w:r>
    </w:p>
    <w:p w:rsidR="00B63CED" w:rsidRPr="002A0BEE" w:rsidRDefault="00B63CED"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Koordinate graničnih tačaka, dužine strana i površina prostora na kome </w:t>
      </w:r>
      <w:r w:rsidR="003D4E9A" w:rsidRPr="002A0BEE">
        <w:rPr>
          <w:rFonts w:asciiTheme="majorHAnsi" w:hAnsiTheme="majorHAnsi" w:cstheme="minorHAnsi"/>
          <w:szCs w:val="24"/>
          <w:lang w:val="sr-Latn-CS"/>
        </w:rPr>
        <w:t>će se vršiti</w:t>
      </w:r>
      <w:r w:rsidRPr="002A0BEE">
        <w:rPr>
          <w:rFonts w:asciiTheme="majorHAnsi" w:hAnsiTheme="majorHAnsi" w:cstheme="minorHAnsi"/>
          <w:szCs w:val="24"/>
          <w:lang w:val="sr-Latn-CS"/>
        </w:rPr>
        <w:t xml:space="preserve"> detaljna geološka istraživa</w:t>
      </w:r>
      <w:r w:rsidR="003D4E9A" w:rsidRPr="002A0BEE">
        <w:rPr>
          <w:rFonts w:asciiTheme="majorHAnsi" w:hAnsiTheme="majorHAnsi" w:cstheme="minorHAnsi"/>
          <w:szCs w:val="24"/>
          <w:lang w:val="sr-Latn-CS"/>
        </w:rPr>
        <w:t>nja i eksploatacija</w:t>
      </w:r>
      <w:r w:rsidRPr="002A0BEE">
        <w:rPr>
          <w:rFonts w:asciiTheme="majorHAnsi" w:hAnsiTheme="majorHAnsi" w:cstheme="minorHAnsi"/>
          <w:szCs w:val="24"/>
          <w:lang w:val="sr-Latn-CS"/>
        </w:rPr>
        <w:t xml:space="preserve"> su: </w:t>
      </w:r>
    </w:p>
    <w:p w:rsidR="00B63CED" w:rsidRPr="002A0BEE" w:rsidRDefault="00B63CED" w:rsidP="002E447F">
      <w:pPr>
        <w:spacing w:after="0"/>
        <w:jc w:val="both"/>
        <w:rPr>
          <w:rFonts w:asciiTheme="majorHAnsi" w:hAnsiTheme="majorHAnsi" w:cstheme="minorHAnsi"/>
          <w:b/>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4"/>
        <w:gridCol w:w="1704"/>
        <w:gridCol w:w="1704"/>
        <w:gridCol w:w="1705"/>
        <w:gridCol w:w="1705"/>
      </w:tblGrid>
      <w:tr w:rsidR="00B63CED" w:rsidRPr="002A0BEE" w:rsidTr="00F86E93">
        <w:trPr>
          <w:jc w:val="center"/>
        </w:trPr>
        <w:tc>
          <w:tcPr>
            <w:tcW w:w="1704" w:type="dxa"/>
            <w:vMerge w:val="restart"/>
            <w:tcBorders>
              <w:top w:val="double" w:sz="4" w:space="0" w:color="auto"/>
              <w:left w:val="double" w:sz="4" w:space="0" w:color="auto"/>
              <w:right w:val="double" w:sz="4" w:space="0" w:color="auto"/>
            </w:tcBorders>
            <w:shd w:val="clear" w:color="auto" w:fill="FFC000"/>
            <w:vAlign w:val="center"/>
          </w:tcPr>
          <w:p w:rsidR="00B63CED" w:rsidRPr="002A0BEE" w:rsidRDefault="00B63CED"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       Tačka</w:t>
            </w:r>
          </w:p>
        </w:tc>
        <w:tc>
          <w:tcPr>
            <w:tcW w:w="3408" w:type="dxa"/>
            <w:gridSpan w:val="2"/>
            <w:tcBorders>
              <w:top w:val="double" w:sz="4" w:space="0" w:color="auto"/>
              <w:left w:val="double" w:sz="4" w:space="0" w:color="auto"/>
              <w:right w:val="double" w:sz="4" w:space="0" w:color="auto"/>
            </w:tcBorders>
            <w:shd w:val="clear" w:color="auto" w:fill="FFC000"/>
          </w:tcPr>
          <w:p w:rsidR="00B63CED" w:rsidRPr="002A0BEE" w:rsidRDefault="00B63CED"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               Koordinate</w:t>
            </w:r>
          </w:p>
        </w:tc>
        <w:tc>
          <w:tcPr>
            <w:tcW w:w="1705" w:type="dxa"/>
            <w:vMerge w:val="restart"/>
            <w:tcBorders>
              <w:top w:val="double" w:sz="4" w:space="0" w:color="auto"/>
              <w:left w:val="double" w:sz="4" w:space="0" w:color="auto"/>
              <w:right w:val="double" w:sz="4" w:space="0" w:color="auto"/>
            </w:tcBorders>
            <w:shd w:val="clear" w:color="auto" w:fill="FFC000"/>
            <w:vAlign w:val="center"/>
          </w:tcPr>
          <w:p w:rsidR="00B63CED" w:rsidRPr="002A0BEE" w:rsidRDefault="00F86E93"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  </w:t>
            </w:r>
            <w:r w:rsidR="00B63CED" w:rsidRPr="002A0BEE">
              <w:rPr>
                <w:rFonts w:asciiTheme="majorHAnsi" w:hAnsiTheme="majorHAnsi" w:cstheme="minorHAnsi"/>
                <w:b/>
                <w:szCs w:val="24"/>
                <w:lang w:val="sr-Latn-CS"/>
              </w:rPr>
              <w:t>Dužina (m)</w:t>
            </w:r>
          </w:p>
        </w:tc>
        <w:tc>
          <w:tcPr>
            <w:tcW w:w="1705" w:type="dxa"/>
            <w:vMerge w:val="restart"/>
            <w:tcBorders>
              <w:top w:val="double" w:sz="4" w:space="0" w:color="auto"/>
              <w:left w:val="double" w:sz="4" w:space="0" w:color="auto"/>
              <w:right w:val="double" w:sz="4" w:space="0" w:color="auto"/>
            </w:tcBorders>
            <w:shd w:val="clear" w:color="auto" w:fill="FFC000"/>
            <w:vAlign w:val="center"/>
          </w:tcPr>
          <w:p w:rsidR="00B63CED" w:rsidRPr="002A0BEE" w:rsidRDefault="00B63CED" w:rsidP="002E447F">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Površina (ha)</w:t>
            </w:r>
          </w:p>
        </w:tc>
      </w:tr>
      <w:tr w:rsidR="00B63CED" w:rsidRPr="002A0BEE" w:rsidTr="00F86E93">
        <w:trPr>
          <w:jc w:val="center"/>
        </w:trPr>
        <w:tc>
          <w:tcPr>
            <w:tcW w:w="1704" w:type="dxa"/>
            <w:vMerge/>
            <w:tcBorders>
              <w:left w:val="double" w:sz="4" w:space="0" w:color="auto"/>
              <w:bottom w:val="double" w:sz="4" w:space="0" w:color="auto"/>
              <w:right w:val="double" w:sz="4" w:space="0" w:color="auto"/>
            </w:tcBorders>
            <w:vAlign w:val="center"/>
          </w:tcPr>
          <w:p w:rsidR="0023153B" w:rsidRPr="002A0BEE" w:rsidRDefault="0023153B" w:rsidP="0023153B">
            <w:pPr>
              <w:spacing w:after="0"/>
              <w:jc w:val="both"/>
              <w:rPr>
                <w:rFonts w:asciiTheme="majorHAnsi" w:hAnsiTheme="majorHAnsi" w:cstheme="minorHAnsi"/>
                <w:b/>
                <w:szCs w:val="24"/>
                <w:lang w:val="sr-Latn-CS"/>
              </w:rPr>
            </w:pPr>
          </w:p>
        </w:tc>
        <w:tc>
          <w:tcPr>
            <w:tcW w:w="1704" w:type="dxa"/>
            <w:tcBorders>
              <w:left w:val="double" w:sz="4" w:space="0" w:color="auto"/>
              <w:bottom w:val="double" w:sz="4" w:space="0" w:color="auto"/>
            </w:tcBorders>
            <w:shd w:val="clear" w:color="auto" w:fill="FFC000"/>
          </w:tcPr>
          <w:p w:rsidR="0023153B" w:rsidRPr="002A0BEE" w:rsidRDefault="0023153B" w:rsidP="0023153B">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             X</w:t>
            </w:r>
          </w:p>
        </w:tc>
        <w:tc>
          <w:tcPr>
            <w:tcW w:w="1704" w:type="dxa"/>
            <w:tcBorders>
              <w:bottom w:val="double" w:sz="4" w:space="0" w:color="auto"/>
              <w:right w:val="double" w:sz="4" w:space="0" w:color="auto"/>
            </w:tcBorders>
            <w:shd w:val="clear" w:color="auto" w:fill="FFC000"/>
          </w:tcPr>
          <w:p w:rsidR="0023153B" w:rsidRPr="002A0BEE" w:rsidRDefault="0023153B" w:rsidP="0023153B">
            <w:pPr>
              <w:spacing w:after="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          Y</w:t>
            </w:r>
          </w:p>
        </w:tc>
        <w:tc>
          <w:tcPr>
            <w:tcW w:w="1705" w:type="dxa"/>
            <w:vMerge/>
            <w:tcBorders>
              <w:left w:val="double" w:sz="4" w:space="0" w:color="auto"/>
              <w:bottom w:val="double" w:sz="4" w:space="0" w:color="auto"/>
              <w:right w:val="double" w:sz="4" w:space="0" w:color="auto"/>
            </w:tcBorders>
            <w:vAlign w:val="center"/>
          </w:tcPr>
          <w:p w:rsidR="0023153B" w:rsidRPr="002A0BEE" w:rsidRDefault="0023153B" w:rsidP="0023153B">
            <w:pPr>
              <w:spacing w:after="0"/>
              <w:jc w:val="both"/>
              <w:rPr>
                <w:rFonts w:asciiTheme="majorHAnsi" w:hAnsiTheme="majorHAnsi" w:cstheme="minorHAnsi"/>
                <w:b/>
                <w:szCs w:val="24"/>
                <w:lang w:val="sr-Latn-CS"/>
              </w:rPr>
            </w:pPr>
          </w:p>
        </w:tc>
        <w:tc>
          <w:tcPr>
            <w:tcW w:w="1705" w:type="dxa"/>
            <w:vMerge/>
            <w:tcBorders>
              <w:left w:val="double" w:sz="4" w:space="0" w:color="auto"/>
              <w:bottom w:val="double" w:sz="4" w:space="0" w:color="auto"/>
              <w:right w:val="double" w:sz="4" w:space="0" w:color="auto"/>
            </w:tcBorders>
            <w:vAlign w:val="center"/>
          </w:tcPr>
          <w:p w:rsidR="0023153B" w:rsidRPr="002A0BEE" w:rsidRDefault="0023153B" w:rsidP="0023153B">
            <w:pPr>
              <w:spacing w:after="0"/>
              <w:jc w:val="both"/>
              <w:rPr>
                <w:rFonts w:asciiTheme="majorHAnsi" w:hAnsiTheme="majorHAnsi" w:cstheme="minorHAnsi"/>
                <w:b/>
                <w:szCs w:val="24"/>
                <w:lang w:val="sr-Latn-CS"/>
              </w:rPr>
            </w:pPr>
          </w:p>
        </w:tc>
      </w:tr>
      <w:tr w:rsidR="00B63CED" w:rsidRPr="002A0BEE" w:rsidTr="009B19E4">
        <w:trPr>
          <w:jc w:val="center"/>
        </w:trPr>
        <w:tc>
          <w:tcPr>
            <w:tcW w:w="1704" w:type="dxa"/>
            <w:tcBorders>
              <w:top w:val="double" w:sz="4" w:space="0" w:color="auto"/>
              <w:left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I</w:t>
            </w:r>
          </w:p>
        </w:tc>
        <w:tc>
          <w:tcPr>
            <w:tcW w:w="1704" w:type="dxa"/>
            <w:tcBorders>
              <w:top w:val="double" w:sz="4" w:space="0" w:color="auto"/>
              <w:left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4 709 652</w:t>
            </w:r>
          </w:p>
        </w:tc>
        <w:tc>
          <w:tcPr>
            <w:tcW w:w="1704" w:type="dxa"/>
            <w:tcBorders>
              <w:top w:val="double" w:sz="4" w:space="0" w:color="auto"/>
              <w:right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6 597 774</w:t>
            </w:r>
          </w:p>
        </w:tc>
        <w:tc>
          <w:tcPr>
            <w:tcW w:w="1705" w:type="dxa"/>
            <w:tcBorders>
              <w:top w:val="double" w:sz="4" w:space="0" w:color="auto"/>
              <w:left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I-II=282</w:t>
            </w:r>
          </w:p>
        </w:tc>
        <w:tc>
          <w:tcPr>
            <w:tcW w:w="1705" w:type="dxa"/>
            <w:vMerge w:val="restart"/>
            <w:tcBorders>
              <w:top w:val="double" w:sz="4" w:space="0" w:color="auto"/>
              <w:left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8,82</w:t>
            </w:r>
          </w:p>
        </w:tc>
      </w:tr>
      <w:tr w:rsidR="00B63CED" w:rsidRPr="002A0BEE" w:rsidTr="009B19E4">
        <w:trPr>
          <w:jc w:val="center"/>
        </w:trPr>
        <w:tc>
          <w:tcPr>
            <w:tcW w:w="1704" w:type="dxa"/>
            <w:tcBorders>
              <w:left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II</w:t>
            </w:r>
          </w:p>
        </w:tc>
        <w:tc>
          <w:tcPr>
            <w:tcW w:w="1704" w:type="dxa"/>
            <w:tcBorders>
              <w:left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4 709 720</w:t>
            </w:r>
          </w:p>
        </w:tc>
        <w:tc>
          <w:tcPr>
            <w:tcW w:w="1704" w:type="dxa"/>
            <w:tcBorders>
              <w:right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6 597 497</w:t>
            </w:r>
          </w:p>
        </w:tc>
        <w:tc>
          <w:tcPr>
            <w:tcW w:w="1705" w:type="dxa"/>
            <w:tcBorders>
              <w:left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II-III=220</w:t>
            </w:r>
          </w:p>
        </w:tc>
        <w:tc>
          <w:tcPr>
            <w:tcW w:w="1705" w:type="dxa"/>
            <w:vMerge/>
            <w:tcBorders>
              <w:left w:val="double" w:sz="4" w:space="0" w:color="auto"/>
              <w:right w:val="double" w:sz="4" w:space="0" w:color="auto"/>
            </w:tcBorders>
          </w:tcPr>
          <w:p w:rsidR="00B63CED" w:rsidRPr="002A0BEE" w:rsidRDefault="00B63CED" w:rsidP="002E447F">
            <w:pPr>
              <w:spacing w:after="0"/>
              <w:jc w:val="both"/>
              <w:rPr>
                <w:rFonts w:asciiTheme="majorHAnsi" w:hAnsiTheme="majorHAnsi" w:cstheme="minorHAnsi"/>
                <w:b/>
                <w:szCs w:val="24"/>
                <w:lang w:val="sr-Latn-CS"/>
              </w:rPr>
            </w:pPr>
          </w:p>
        </w:tc>
      </w:tr>
      <w:tr w:rsidR="00B63CED" w:rsidRPr="002A0BEE" w:rsidTr="009B19E4">
        <w:trPr>
          <w:jc w:val="center"/>
        </w:trPr>
        <w:tc>
          <w:tcPr>
            <w:tcW w:w="1704" w:type="dxa"/>
            <w:tcBorders>
              <w:left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III</w:t>
            </w:r>
          </w:p>
        </w:tc>
        <w:tc>
          <w:tcPr>
            <w:tcW w:w="1704" w:type="dxa"/>
            <w:tcBorders>
              <w:left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4 709 920</w:t>
            </w:r>
          </w:p>
        </w:tc>
        <w:tc>
          <w:tcPr>
            <w:tcW w:w="1704" w:type="dxa"/>
            <w:tcBorders>
              <w:right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6 597 379</w:t>
            </w:r>
          </w:p>
        </w:tc>
        <w:tc>
          <w:tcPr>
            <w:tcW w:w="1705" w:type="dxa"/>
            <w:tcBorders>
              <w:left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III-IV=382</w:t>
            </w:r>
          </w:p>
        </w:tc>
        <w:tc>
          <w:tcPr>
            <w:tcW w:w="1705" w:type="dxa"/>
            <w:vMerge/>
            <w:tcBorders>
              <w:left w:val="double" w:sz="4" w:space="0" w:color="auto"/>
              <w:right w:val="double" w:sz="4" w:space="0" w:color="auto"/>
            </w:tcBorders>
          </w:tcPr>
          <w:p w:rsidR="00B63CED" w:rsidRPr="002A0BEE" w:rsidRDefault="00B63CED" w:rsidP="002E447F">
            <w:pPr>
              <w:spacing w:after="0"/>
              <w:jc w:val="both"/>
              <w:rPr>
                <w:rFonts w:asciiTheme="majorHAnsi" w:hAnsiTheme="majorHAnsi" w:cstheme="minorHAnsi"/>
                <w:b/>
                <w:szCs w:val="24"/>
                <w:lang w:val="sr-Latn-CS"/>
              </w:rPr>
            </w:pPr>
          </w:p>
        </w:tc>
      </w:tr>
      <w:tr w:rsidR="00B63CED" w:rsidRPr="002A0BEE" w:rsidTr="009B19E4">
        <w:trPr>
          <w:jc w:val="center"/>
        </w:trPr>
        <w:tc>
          <w:tcPr>
            <w:tcW w:w="1704" w:type="dxa"/>
            <w:tcBorders>
              <w:left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IV</w:t>
            </w:r>
          </w:p>
        </w:tc>
        <w:tc>
          <w:tcPr>
            <w:tcW w:w="1704" w:type="dxa"/>
            <w:tcBorders>
              <w:left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4 709 995</w:t>
            </w:r>
          </w:p>
        </w:tc>
        <w:tc>
          <w:tcPr>
            <w:tcW w:w="1704" w:type="dxa"/>
            <w:tcBorders>
              <w:right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6 597 770</w:t>
            </w:r>
          </w:p>
        </w:tc>
        <w:tc>
          <w:tcPr>
            <w:tcW w:w="1705" w:type="dxa"/>
            <w:tcBorders>
              <w:left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IV-V=162</w:t>
            </w:r>
          </w:p>
        </w:tc>
        <w:tc>
          <w:tcPr>
            <w:tcW w:w="1705" w:type="dxa"/>
            <w:vMerge/>
            <w:tcBorders>
              <w:left w:val="double" w:sz="4" w:space="0" w:color="auto"/>
              <w:right w:val="double" w:sz="4" w:space="0" w:color="auto"/>
            </w:tcBorders>
          </w:tcPr>
          <w:p w:rsidR="00B63CED" w:rsidRPr="002A0BEE" w:rsidRDefault="00B63CED" w:rsidP="002E447F">
            <w:pPr>
              <w:spacing w:after="0"/>
              <w:jc w:val="both"/>
              <w:rPr>
                <w:rFonts w:asciiTheme="majorHAnsi" w:hAnsiTheme="majorHAnsi" w:cstheme="minorHAnsi"/>
                <w:b/>
                <w:szCs w:val="24"/>
                <w:lang w:val="sr-Latn-CS"/>
              </w:rPr>
            </w:pPr>
          </w:p>
        </w:tc>
      </w:tr>
      <w:tr w:rsidR="00B63CED" w:rsidRPr="002A0BEE" w:rsidTr="009B19E4">
        <w:trPr>
          <w:jc w:val="center"/>
        </w:trPr>
        <w:tc>
          <w:tcPr>
            <w:tcW w:w="1704" w:type="dxa"/>
            <w:tcBorders>
              <w:left w:val="double" w:sz="4" w:space="0" w:color="auto"/>
              <w:bottom w:val="double" w:sz="4" w:space="0" w:color="auto"/>
              <w:right w:val="double" w:sz="4" w:space="0" w:color="auto"/>
            </w:tcBorders>
            <w:vAlign w:val="center"/>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V </w:t>
            </w:r>
          </w:p>
        </w:tc>
        <w:tc>
          <w:tcPr>
            <w:tcW w:w="1704" w:type="dxa"/>
            <w:tcBorders>
              <w:left w:val="double" w:sz="4" w:space="0" w:color="auto"/>
              <w:bottom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4 709 804</w:t>
            </w:r>
          </w:p>
        </w:tc>
        <w:tc>
          <w:tcPr>
            <w:tcW w:w="1704" w:type="dxa"/>
            <w:tcBorders>
              <w:bottom w:val="double" w:sz="4" w:space="0" w:color="auto"/>
              <w:right w:val="double" w:sz="4" w:space="0" w:color="auto"/>
            </w:tcBorders>
          </w:tcPr>
          <w:p w:rsidR="00B63CED" w:rsidRPr="002A0BEE" w:rsidRDefault="00B63CE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6 597 864</w:t>
            </w:r>
          </w:p>
        </w:tc>
        <w:tc>
          <w:tcPr>
            <w:tcW w:w="1705" w:type="dxa"/>
            <w:tcBorders>
              <w:left w:val="double" w:sz="4" w:space="0" w:color="auto"/>
              <w:bottom w:val="double" w:sz="4" w:space="0" w:color="auto"/>
              <w:right w:val="double" w:sz="4" w:space="0" w:color="auto"/>
            </w:tcBorders>
            <w:vAlign w:val="center"/>
          </w:tcPr>
          <w:p w:rsidR="00B63CED" w:rsidRPr="002A0BEE" w:rsidRDefault="00050A6D"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w:t>
            </w:r>
            <w:r w:rsidR="00B63CED" w:rsidRPr="002A0BEE">
              <w:rPr>
                <w:rFonts w:asciiTheme="majorHAnsi" w:hAnsiTheme="majorHAnsi" w:cstheme="minorHAnsi"/>
                <w:szCs w:val="24"/>
                <w:lang w:val="sr-Latn-CS"/>
              </w:rPr>
              <w:t xml:space="preserve"> V-I=177</w:t>
            </w:r>
          </w:p>
        </w:tc>
        <w:tc>
          <w:tcPr>
            <w:tcW w:w="1705" w:type="dxa"/>
            <w:vMerge/>
            <w:tcBorders>
              <w:left w:val="double" w:sz="4" w:space="0" w:color="auto"/>
              <w:bottom w:val="double" w:sz="4" w:space="0" w:color="auto"/>
              <w:right w:val="double" w:sz="4" w:space="0" w:color="auto"/>
            </w:tcBorders>
          </w:tcPr>
          <w:p w:rsidR="00B63CED" w:rsidRPr="002A0BEE" w:rsidRDefault="00B63CED" w:rsidP="002E447F">
            <w:pPr>
              <w:spacing w:after="0"/>
              <w:jc w:val="both"/>
              <w:rPr>
                <w:rFonts w:asciiTheme="majorHAnsi" w:hAnsiTheme="majorHAnsi" w:cstheme="minorHAnsi"/>
                <w:b/>
                <w:szCs w:val="24"/>
                <w:lang w:val="sr-Latn-CS"/>
              </w:rPr>
            </w:pPr>
          </w:p>
        </w:tc>
      </w:tr>
    </w:tbl>
    <w:p w:rsidR="009248F4" w:rsidRPr="002A0BEE" w:rsidRDefault="009248F4" w:rsidP="006F3C68">
      <w:pPr>
        <w:jc w:val="both"/>
        <w:rPr>
          <w:rFonts w:asciiTheme="majorHAnsi" w:hAnsiTheme="majorHAnsi" w:cstheme="minorHAnsi"/>
          <w:szCs w:val="24"/>
          <w:lang w:val="sr-Latn-CS"/>
        </w:rPr>
      </w:pPr>
    </w:p>
    <w:p w:rsidR="009248F4" w:rsidRPr="002A0BEE" w:rsidRDefault="009248F4" w:rsidP="006F3C68">
      <w:pPr>
        <w:pStyle w:val="Heading2"/>
        <w:numPr>
          <w:ilvl w:val="1"/>
          <w:numId w:val="10"/>
        </w:numPr>
        <w:spacing w:before="0" w:after="200"/>
        <w:rPr>
          <w:rFonts w:cstheme="minorHAnsi"/>
          <w:szCs w:val="24"/>
          <w:lang w:val="sr-Latn-CS"/>
        </w:rPr>
      </w:pPr>
      <w:bookmarkStart w:id="22" w:name="_Toc401959406"/>
      <w:bookmarkStart w:id="23" w:name="_Toc401959499"/>
      <w:bookmarkStart w:id="24" w:name="_Toc435529002"/>
      <w:bookmarkStart w:id="25" w:name="_Toc436124871"/>
      <w:r w:rsidRPr="002A0BEE">
        <w:rPr>
          <w:rFonts w:cstheme="minorHAnsi"/>
          <w:szCs w:val="24"/>
          <w:lang w:val="sr-Latn-CS"/>
        </w:rPr>
        <w:t>Podaci o imovinsko-pravnim odnosima</w:t>
      </w:r>
      <w:bookmarkEnd w:id="22"/>
      <w:bookmarkEnd w:id="23"/>
      <w:bookmarkEnd w:id="24"/>
      <w:bookmarkEnd w:id="25"/>
      <w:r w:rsidRPr="002A0BEE">
        <w:rPr>
          <w:rFonts w:cstheme="minorHAnsi"/>
          <w:szCs w:val="24"/>
          <w:lang w:val="sr-Latn-CS"/>
        </w:rPr>
        <w:t xml:space="preserve"> </w:t>
      </w:r>
    </w:p>
    <w:p w:rsidR="009248F4" w:rsidRPr="002A0BEE" w:rsidRDefault="00FB1243"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Na osnovu izdatog Lista nepokretnosti 27, KO Podglavice, od strane Uprave za nekretnine, Područna jedinica Danilovgrad, katastarske parcele br. od 195 do 215, na kojima se nalazi ležište „Visočica“ je u vlasništvu DOO „Šišković“ – Danilovgrad, podnosioca Inicijative za dodjelu predmetne koncesije.</w:t>
      </w:r>
    </w:p>
    <w:p w:rsidR="005E142E" w:rsidRPr="002A0BEE" w:rsidRDefault="005E142E" w:rsidP="006F3C68">
      <w:pPr>
        <w:jc w:val="both"/>
        <w:rPr>
          <w:rFonts w:asciiTheme="majorHAnsi" w:hAnsiTheme="majorHAnsi" w:cstheme="minorHAnsi"/>
          <w:color w:val="000000" w:themeColor="text1"/>
          <w:szCs w:val="24"/>
          <w:lang w:val="sr-Latn-CS"/>
        </w:rPr>
      </w:pPr>
      <w:r w:rsidRPr="002A0BEE">
        <w:rPr>
          <w:rFonts w:asciiTheme="majorHAnsi" w:hAnsiTheme="majorHAnsi" w:cstheme="minorHAnsi"/>
          <w:color w:val="000000" w:themeColor="text1"/>
          <w:szCs w:val="24"/>
          <w:lang w:val="sr-Latn-CS"/>
        </w:rPr>
        <w:t xml:space="preserve">Shodno članu 44 Zakona o koncesijama, ako se u vezi sa korišćenjem koncesije mora izvršiti eksproprijacija nepokretnosti, odnosno uređenje građevinskog zemljišta, troškovi, način i rokovi plaćanja naknade za eksproprijaciju nepokretnosti, odnosno uređenja građevinskog zemljišta, utvrđuju se i sprovode u skladu sa zakonom. Ukoliko je vlasnik zemljišta koncedent, ne vrši se eksproprijacija već se smatra da je koncesionar dobijanjem koncesije dobio saglasnost za njegovo korišćenje. </w:t>
      </w:r>
    </w:p>
    <w:p w:rsidR="005E142E" w:rsidRPr="002A0BEE" w:rsidRDefault="005E142E" w:rsidP="006F3C68">
      <w:pPr>
        <w:jc w:val="both"/>
        <w:rPr>
          <w:rFonts w:asciiTheme="majorHAnsi" w:hAnsiTheme="majorHAnsi" w:cstheme="minorHAnsi"/>
          <w:szCs w:val="24"/>
          <w:lang w:val="sr-Latn-CS"/>
        </w:rPr>
      </w:pPr>
      <w:r w:rsidRPr="002A0BEE">
        <w:rPr>
          <w:rFonts w:asciiTheme="majorHAnsi" w:hAnsiTheme="majorHAnsi" w:cstheme="minorHAnsi"/>
          <w:color w:val="000000" w:themeColor="text1"/>
          <w:szCs w:val="24"/>
          <w:lang w:val="sr-Latn-CS"/>
        </w:rPr>
        <w:t xml:space="preserve">Međutim, budući da Zakonom o rudarstvu (“Sl. list CG”, br. 65/08, 74/10 i 40/11), eksploatacija mineralnih sirovina nije definisana kao javni interes, odnosno da shodno </w:t>
      </w:r>
      <w:r w:rsidRPr="002A0BEE">
        <w:rPr>
          <w:rFonts w:asciiTheme="majorHAnsi" w:hAnsiTheme="majorHAnsi" w:cstheme="minorHAnsi"/>
          <w:color w:val="000000" w:themeColor="text1"/>
          <w:szCs w:val="24"/>
          <w:lang w:val="sr-Latn-CS"/>
        </w:rPr>
        <w:lastRenderedPageBreak/>
        <w:t>Zakonu o eksprorijaciji (“Sl. list Sl. list RCG", br. 55/00; 12/02, 28/06 i “Sl. list CG”, br. 21/08)</w:t>
      </w:r>
      <w:r w:rsidR="002A0BEE">
        <w:rPr>
          <w:rFonts w:asciiTheme="majorHAnsi" w:hAnsiTheme="majorHAnsi" w:cstheme="minorHAnsi"/>
          <w:color w:val="000000" w:themeColor="text1"/>
          <w:szCs w:val="24"/>
          <w:lang w:val="sr-Latn-CS"/>
        </w:rPr>
        <w:t>,</w:t>
      </w:r>
      <w:r w:rsidRPr="002A0BEE">
        <w:rPr>
          <w:rFonts w:asciiTheme="majorHAnsi" w:hAnsiTheme="majorHAnsi" w:cstheme="minorHAnsi"/>
          <w:color w:val="000000" w:themeColor="text1"/>
          <w:szCs w:val="24"/>
          <w:lang w:val="sr-Latn-CS"/>
        </w:rPr>
        <w:t xml:space="preserve"> korisnici eksproprijacije ne mogu biti privatna lica, ne postoji zakonska mogućnost vršenja eksproprijacije prostora obuhvaćenih predmetnim</w:t>
      </w:r>
      <w:r w:rsidRPr="002A0BEE">
        <w:rPr>
          <w:rFonts w:asciiTheme="majorHAnsi" w:hAnsiTheme="majorHAnsi" w:cstheme="minorHAnsi"/>
          <w:szCs w:val="24"/>
          <w:lang w:val="sr-Latn-CS"/>
        </w:rPr>
        <w:t xml:space="preserve"> ležištem, a u cilju vršenja eksploatacije mineralnih sirovina.</w:t>
      </w:r>
    </w:p>
    <w:p w:rsidR="005E142E" w:rsidRPr="002A0BEE" w:rsidRDefault="005E142E"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Stoga je isključiva odgovornost i obaveza budućeg koncesionara da u cilju vršenja eksploatacije mineralnih sirovina riješi imovinsko pravne odnose prostora obuhvaćenog predmetnim ležištem. </w:t>
      </w:r>
    </w:p>
    <w:p w:rsidR="005E142E" w:rsidRPr="002A0BEE" w:rsidRDefault="005E142E"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Ništa iz ovog Koncesionog akta se ne može smatrati kao obećanjem ili budućom obavezom koncedenta da za potrebe budućeg koncesionara rješava imovinsko pravne odnose na prostoru obuhvaćenom predmetnim ležištem. </w:t>
      </w:r>
    </w:p>
    <w:p w:rsidR="009248F4" w:rsidRPr="002A0BEE" w:rsidRDefault="009248F4"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Podaci o imovinsko-pravnim odnosima dati su kao Prilog Koncesionog akta.</w:t>
      </w:r>
    </w:p>
    <w:p w:rsidR="009248F4" w:rsidRPr="002A0BEE" w:rsidRDefault="009248F4" w:rsidP="006F3C68">
      <w:pPr>
        <w:pStyle w:val="ListParagraph"/>
        <w:numPr>
          <w:ilvl w:val="0"/>
          <w:numId w:val="8"/>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ListParagraph"/>
        <w:numPr>
          <w:ilvl w:val="0"/>
          <w:numId w:val="8"/>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ListParagraph"/>
        <w:numPr>
          <w:ilvl w:val="1"/>
          <w:numId w:val="8"/>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ListParagraph"/>
        <w:numPr>
          <w:ilvl w:val="1"/>
          <w:numId w:val="8"/>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ListParagraph"/>
        <w:numPr>
          <w:ilvl w:val="1"/>
          <w:numId w:val="8"/>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Heading2"/>
        <w:numPr>
          <w:ilvl w:val="1"/>
          <w:numId w:val="8"/>
        </w:numPr>
        <w:spacing w:before="0" w:after="200"/>
        <w:ind w:left="450"/>
        <w:rPr>
          <w:rFonts w:eastAsia="Times New Roman" w:cstheme="minorHAnsi"/>
          <w:szCs w:val="24"/>
          <w:lang w:val="sr-Latn-CS"/>
        </w:rPr>
      </w:pPr>
      <w:bookmarkStart w:id="26" w:name="_Toc401959407"/>
      <w:bookmarkStart w:id="27" w:name="_Toc401959500"/>
      <w:bookmarkStart w:id="28" w:name="_Toc435529003"/>
      <w:bookmarkStart w:id="29" w:name="_Toc436124872"/>
      <w:r w:rsidRPr="002A0BEE">
        <w:rPr>
          <w:rFonts w:eastAsia="Times New Roman" w:cstheme="minorHAnsi"/>
          <w:szCs w:val="24"/>
          <w:lang w:val="sr-Latn-CS"/>
        </w:rPr>
        <w:t>Podaci iz prostorno–planske dokumentacije</w:t>
      </w:r>
      <w:bookmarkEnd w:id="26"/>
      <w:bookmarkEnd w:id="27"/>
      <w:bookmarkEnd w:id="28"/>
      <w:bookmarkEnd w:id="29"/>
    </w:p>
    <w:p w:rsidR="009248F4" w:rsidRPr="002A0BEE" w:rsidRDefault="009248F4" w:rsidP="006F3C68">
      <w:pPr>
        <w:jc w:val="both"/>
        <w:rPr>
          <w:rFonts w:asciiTheme="majorHAnsi" w:eastAsia="Times New Roman" w:hAnsiTheme="majorHAnsi" w:cstheme="minorHAnsi"/>
          <w:bCs/>
          <w:szCs w:val="24"/>
          <w:lang w:val="sr-Latn-CS"/>
        </w:rPr>
      </w:pPr>
      <w:r w:rsidRPr="002A0BEE">
        <w:rPr>
          <w:rFonts w:asciiTheme="majorHAnsi" w:eastAsia="Times New Roman" w:hAnsiTheme="majorHAnsi" w:cstheme="minorHAnsi"/>
          <w:bCs/>
          <w:szCs w:val="24"/>
          <w:lang w:val="sr-Latn-CS"/>
        </w:rPr>
        <w:t>Istraž</w:t>
      </w:r>
      <w:r w:rsidR="00FB1243" w:rsidRPr="002A0BEE">
        <w:rPr>
          <w:rFonts w:asciiTheme="majorHAnsi" w:eastAsia="Times New Roman" w:hAnsiTheme="majorHAnsi" w:cstheme="minorHAnsi"/>
          <w:bCs/>
          <w:szCs w:val="24"/>
          <w:lang w:val="sr-Latn-CS"/>
        </w:rPr>
        <w:t>no-eksploatacioni prostor “Visočica”</w:t>
      </w:r>
      <w:r w:rsidRPr="002A0BEE">
        <w:rPr>
          <w:rFonts w:asciiTheme="majorHAnsi" w:eastAsia="Times New Roman" w:hAnsiTheme="majorHAnsi" w:cstheme="minorHAnsi"/>
          <w:bCs/>
          <w:szCs w:val="24"/>
          <w:lang w:val="sr-Latn-CS"/>
        </w:rPr>
        <w:t xml:space="preserve"> je predviđen Prostorno – urbanističkim planom</w:t>
      </w:r>
      <w:r w:rsidR="00FB1243" w:rsidRPr="002A0BEE">
        <w:rPr>
          <w:rFonts w:asciiTheme="majorHAnsi" w:eastAsia="Times New Roman" w:hAnsiTheme="majorHAnsi" w:cstheme="minorHAnsi"/>
          <w:bCs/>
          <w:szCs w:val="24"/>
          <w:lang w:val="sr-Latn-CS"/>
        </w:rPr>
        <w:t xml:space="preserve"> </w:t>
      </w:r>
      <w:r w:rsidR="00483399" w:rsidRPr="002A0BEE">
        <w:rPr>
          <w:rFonts w:asciiTheme="majorHAnsi" w:eastAsia="Times New Roman" w:hAnsiTheme="majorHAnsi" w:cstheme="minorHAnsi"/>
          <w:bCs/>
          <w:szCs w:val="24"/>
          <w:lang w:val="sr-Latn-CS"/>
        </w:rPr>
        <w:t>o</w:t>
      </w:r>
      <w:r w:rsidR="00FB1243" w:rsidRPr="002A0BEE">
        <w:rPr>
          <w:rFonts w:asciiTheme="majorHAnsi" w:eastAsia="Times New Roman" w:hAnsiTheme="majorHAnsi" w:cstheme="minorHAnsi"/>
          <w:bCs/>
          <w:szCs w:val="24"/>
          <w:lang w:val="sr-Latn-CS"/>
        </w:rPr>
        <w:t>pštine Danilovgrad</w:t>
      </w:r>
      <w:r w:rsidRPr="002A0BEE">
        <w:rPr>
          <w:rFonts w:asciiTheme="majorHAnsi" w:eastAsia="Times New Roman" w:hAnsiTheme="majorHAnsi" w:cstheme="minorHAnsi"/>
          <w:bCs/>
          <w:szCs w:val="24"/>
          <w:lang w:val="sr-Latn-CS"/>
        </w:rPr>
        <w:t xml:space="preserve"> (“Sl.list CG”- opštinski propisi, br.12/14) kao koncesiono područje za eksploataciju arhitektonsko-građevinskog (ukrasnog) kamena.</w:t>
      </w:r>
    </w:p>
    <w:p w:rsidR="009248F4" w:rsidRPr="002A0BEE" w:rsidRDefault="009248F4" w:rsidP="006F3C68">
      <w:pPr>
        <w:jc w:val="both"/>
        <w:rPr>
          <w:rFonts w:asciiTheme="majorHAnsi" w:eastAsia="Times New Roman" w:hAnsiTheme="majorHAnsi" w:cstheme="minorHAnsi"/>
          <w:bCs/>
          <w:szCs w:val="24"/>
          <w:lang w:val="sr-Latn-CS"/>
        </w:rPr>
      </w:pPr>
      <w:r w:rsidRPr="002A0BEE">
        <w:rPr>
          <w:rFonts w:asciiTheme="majorHAnsi" w:eastAsia="Times New Roman" w:hAnsiTheme="majorHAnsi" w:cstheme="minorHAnsi"/>
          <w:bCs/>
          <w:szCs w:val="24"/>
          <w:lang w:val="sr-Latn-CS"/>
        </w:rPr>
        <w:t xml:space="preserve">Izvod iz Prostorno-planske dokumentacije </w:t>
      </w:r>
      <w:r w:rsidR="00483399" w:rsidRPr="002A0BEE">
        <w:rPr>
          <w:rFonts w:asciiTheme="majorHAnsi" w:eastAsia="Times New Roman" w:hAnsiTheme="majorHAnsi" w:cstheme="minorHAnsi"/>
          <w:bCs/>
          <w:szCs w:val="24"/>
          <w:lang w:val="sr-Latn-CS"/>
        </w:rPr>
        <w:t>opštine Danilovgrad</w:t>
      </w:r>
      <w:r w:rsidRPr="002A0BEE">
        <w:rPr>
          <w:rFonts w:asciiTheme="majorHAnsi" w:eastAsia="Times New Roman" w:hAnsiTheme="majorHAnsi" w:cstheme="minorHAnsi"/>
          <w:bCs/>
          <w:szCs w:val="24"/>
          <w:lang w:val="sr-Latn-CS"/>
        </w:rPr>
        <w:t xml:space="preserve"> je dat kao Prilog Koncesionog akta.</w:t>
      </w:r>
    </w:p>
    <w:p w:rsidR="009248F4" w:rsidRPr="002A0BEE" w:rsidRDefault="009248F4" w:rsidP="006F3C68">
      <w:pPr>
        <w:pStyle w:val="ListParagraph"/>
        <w:numPr>
          <w:ilvl w:val="0"/>
          <w:numId w:val="9"/>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ListParagraph"/>
        <w:numPr>
          <w:ilvl w:val="0"/>
          <w:numId w:val="9"/>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ListParagraph"/>
        <w:numPr>
          <w:ilvl w:val="1"/>
          <w:numId w:val="9"/>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ListParagraph"/>
        <w:numPr>
          <w:ilvl w:val="1"/>
          <w:numId w:val="9"/>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ListParagraph"/>
        <w:numPr>
          <w:ilvl w:val="1"/>
          <w:numId w:val="9"/>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ListParagraph"/>
        <w:numPr>
          <w:ilvl w:val="1"/>
          <w:numId w:val="9"/>
        </w:numPr>
        <w:contextualSpacing w:val="0"/>
        <w:jc w:val="both"/>
        <w:rPr>
          <w:rFonts w:asciiTheme="majorHAnsi" w:eastAsia="Times New Roman" w:hAnsiTheme="majorHAnsi" w:cstheme="minorHAnsi"/>
          <w:b/>
          <w:vanish/>
          <w:szCs w:val="24"/>
          <w:lang w:val="sr-Latn-CS"/>
        </w:rPr>
      </w:pPr>
    </w:p>
    <w:p w:rsidR="009248F4" w:rsidRPr="002A0BEE" w:rsidRDefault="009248F4" w:rsidP="006F3C68">
      <w:pPr>
        <w:pStyle w:val="Heading2"/>
        <w:numPr>
          <w:ilvl w:val="1"/>
          <w:numId w:val="9"/>
        </w:numPr>
        <w:spacing w:before="0" w:after="200"/>
        <w:ind w:left="450"/>
        <w:rPr>
          <w:rFonts w:eastAsia="Times New Roman" w:cstheme="minorHAnsi"/>
          <w:szCs w:val="24"/>
          <w:lang w:val="sr-Latn-CS"/>
        </w:rPr>
      </w:pPr>
      <w:bookmarkStart w:id="30" w:name="_Toc401959408"/>
      <w:bookmarkStart w:id="31" w:name="_Toc401959501"/>
      <w:bookmarkStart w:id="32" w:name="_Toc435529004"/>
      <w:bookmarkStart w:id="33" w:name="_Toc436124873"/>
      <w:r w:rsidRPr="002A0BEE">
        <w:rPr>
          <w:rFonts w:eastAsia="Times New Roman" w:cstheme="minorHAnsi"/>
          <w:szCs w:val="24"/>
          <w:lang w:val="sr-Latn-CS"/>
        </w:rPr>
        <w:t>Infrastrukturni objekti na istražno-eksplatacionom prostoru</w:t>
      </w:r>
      <w:bookmarkEnd w:id="30"/>
      <w:bookmarkEnd w:id="31"/>
      <w:bookmarkEnd w:id="32"/>
      <w:bookmarkEnd w:id="33"/>
    </w:p>
    <w:p w:rsidR="0029592C" w:rsidRPr="002A0BEE" w:rsidRDefault="0029592C"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Ležište „Visočica“ ima veoma povoljan geografski položaj. Nalazi se u središnjem dijelu Crne Gore, na udaljenosti od oko 1 km od Spuža. Ova varošica povezana je asfaltnim putem i željeznicom sa Danilovgradom, Podgoricom i Nikšićem.</w:t>
      </w:r>
    </w:p>
    <w:p w:rsidR="002A0BEE" w:rsidRPr="002A0BEE" w:rsidRDefault="0029592C"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Priključak za obezbjeđenje električne energije riješen je pomoću trafostanice koja u potpunosti zadovoljava potrošnju, dok je potreba za vodom riješena pomoću bunara koji se nalazi u neposrednoj blizini ležišta.</w:t>
      </w:r>
    </w:p>
    <w:p w:rsidR="00957AD0" w:rsidRPr="002A0BEE" w:rsidRDefault="00957AD0" w:rsidP="006F3C68">
      <w:pPr>
        <w:pStyle w:val="Default"/>
        <w:numPr>
          <w:ilvl w:val="1"/>
          <w:numId w:val="9"/>
        </w:numPr>
        <w:spacing w:after="200" w:line="276" w:lineRule="auto"/>
        <w:ind w:left="450"/>
        <w:rPr>
          <w:rFonts w:asciiTheme="majorHAnsi" w:hAnsiTheme="majorHAnsi" w:cstheme="minorHAnsi"/>
          <w:b/>
          <w:bCs/>
          <w:lang w:val="sr-Latn-CS"/>
        </w:rPr>
      </w:pPr>
      <w:r w:rsidRPr="002A0BEE">
        <w:rPr>
          <w:rFonts w:asciiTheme="majorHAnsi" w:hAnsiTheme="majorHAnsi" w:cstheme="minorHAnsi"/>
          <w:b/>
          <w:bCs/>
          <w:lang w:val="sr-Latn-CS"/>
        </w:rPr>
        <w:t>Podaci o izvršenim geološkim istraživanjima, rezervama, kvalitetu mineralne sirovine,</w:t>
      </w:r>
      <w:r w:rsidR="00510626" w:rsidRPr="002A0BEE">
        <w:rPr>
          <w:rFonts w:asciiTheme="majorHAnsi" w:hAnsiTheme="majorHAnsi" w:cstheme="minorHAnsi"/>
          <w:b/>
          <w:bCs/>
          <w:lang w:val="sr-Latn-CS"/>
        </w:rPr>
        <w:t xml:space="preserve"> </w:t>
      </w:r>
      <w:r w:rsidRPr="002A0BEE">
        <w:rPr>
          <w:rFonts w:asciiTheme="majorHAnsi" w:hAnsiTheme="majorHAnsi" w:cstheme="minorHAnsi"/>
          <w:b/>
          <w:bCs/>
          <w:lang w:val="sr-Latn-CS"/>
        </w:rPr>
        <w:t>mogućnostima valorizacije i načinu eksploatacije</w:t>
      </w:r>
    </w:p>
    <w:p w:rsidR="00957AD0" w:rsidRPr="002A0BEE" w:rsidRDefault="00957AD0" w:rsidP="006F3C68">
      <w:pPr>
        <w:pStyle w:val="ListParagraph"/>
        <w:numPr>
          <w:ilvl w:val="2"/>
          <w:numId w:val="9"/>
        </w:numPr>
        <w:contextualSpacing w:val="0"/>
        <w:rPr>
          <w:rFonts w:asciiTheme="majorHAnsi" w:hAnsiTheme="majorHAnsi" w:cstheme="minorHAnsi"/>
          <w:b/>
          <w:szCs w:val="24"/>
          <w:lang w:val="sr-Latn-CS"/>
        </w:rPr>
      </w:pPr>
      <w:r w:rsidRPr="002A0BEE">
        <w:rPr>
          <w:rFonts w:asciiTheme="majorHAnsi" w:hAnsiTheme="majorHAnsi" w:cstheme="minorHAnsi"/>
          <w:b/>
          <w:szCs w:val="24"/>
          <w:lang w:val="sr-Latn-CS"/>
        </w:rPr>
        <w:t>Istorijat i geološko ekonomske karakteristike ranijih istraživanja</w:t>
      </w:r>
    </w:p>
    <w:p w:rsidR="00957AD0" w:rsidRPr="002A0BEE" w:rsidRDefault="00957AD0"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Kamen </w:t>
      </w:r>
      <w:r w:rsidR="0007040B" w:rsidRPr="002A0BEE">
        <w:rPr>
          <w:rFonts w:asciiTheme="majorHAnsi" w:hAnsiTheme="majorHAnsi" w:cstheme="minorHAnsi"/>
          <w:szCs w:val="24"/>
          <w:lang w:val="sr-Latn-CS"/>
        </w:rPr>
        <w:t>brda “Visočice”</w:t>
      </w:r>
      <w:r w:rsidRPr="002A0BEE">
        <w:rPr>
          <w:rFonts w:asciiTheme="majorHAnsi" w:hAnsiTheme="majorHAnsi" w:cstheme="minorHAnsi"/>
          <w:szCs w:val="24"/>
          <w:lang w:val="sr-Latn-CS"/>
        </w:rPr>
        <w:t xml:space="preserve"> poznat je još iz rimskih dana kao dobar građevinski materijal.</w:t>
      </w:r>
      <w:r w:rsidR="0007040B" w:rsidRPr="002A0BEE">
        <w:rPr>
          <w:rFonts w:asciiTheme="majorHAnsi" w:hAnsiTheme="majorHAnsi" w:cstheme="minorHAnsi"/>
          <w:szCs w:val="24"/>
          <w:lang w:val="sr-Latn-CS"/>
        </w:rPr>
        <w:t xml:space="preserve"> Ovo se jasno vidi po ostacima </w:t>
      </w:r>
      <w:r w:rsidRPr="002A0BEE">
        <w:rPr>
          <w:rFonts w:asciiTheme="majorHAnsi" w:hAnsiTheme="majorHAnsi" w:cstheme="minorHAnsi"/>
          <w:szCs w:val="24"/>
          <w:lang w:val="sr-Latn-CS"/>
        </w:rPr>
        <w:t>starih maj</w:t>
      </w:r>
      <w:r w:rsidR="0007040B" w:rsidRPr="002A0BEE">
        <w:rPr>
          <w:rFonts w:asciiTheme="majorHAnsi" w:hAnsiTheme="majorHAnsi" w:cstheme="minorHAnsi"/>
          <w:szCs w:val="24"/>
          <w:lang w:val="sr-Latn-CS"/>
        </w:rPr>
        <w:t>dana na ovom brdu</w:t>
      </w:r>
      <w:r w:rsidRPr="002A0BEE">
        <w:rPr>
          <w:rFonts w:asciiTheme="majorHAnsi" w:hAnsiTheme="majorHAnsi" w:cstheme="minorHAnsi"/>
          <w:szCs w:val="24"/>
          <w:lang w:val="sr-Latn-CS"/>
        </w:rPr>
        <w:t xml:space="preserve"> i mnogobrojnim rimsk</w:t>
      </w:r>
      <w:r w:rsidR="0007040B" w:rsidRPr="002A0BEE">
        <w:rPr>
          <w:rFonts w:asciiTheme="majorHAnsi" w:hAnsiTheme="majorHAnsi" w:cstheme="minorHAnsi"/>
          <w:szCs w:val="24"/>
          <w:lang w:val="sr-Latn-CS"/>
        </w:rPr>
        <w:t>i</w:t>
      </w:r>
      <w:r w:rsidRPr="002A0BEE">
        <w:rPr>
          <w:rFonts w:asciiTheme="majorHAnsi" w:hAnsiTheme="majorHAnsi" w:cstheme="minorHAnsi"/>
          <w:szCs w:val="24"/>
          <w:lang w:val="sr-Latn-CS"/>
        </w:rPr>
        <w:t>m i srednje vjekovnim ruinama u Zetskoj  ravnici. “Veliki dio u starom rimskom gra</w:t>
      </w:r>
      <w:r w:rsidR="0007040B" w:rsidRPr="002A0BEE">
        <w:rPr>
          <w:rFonts w:asciiTheme="majorHAnsi" w:hAnsiTheme="majorHAnsi" w:cstheme="minorHAnsi"/>
          <w:szCs w:val="24"/>
          <w:lang w:val="sr-Latn-CS"/>
        </w:rPr>
        <w:t>du Duklja porijeklom je iz Visoč</w:t>
      </w:r>
      <w:r w:rsidRPr="002A0BEE">
        <w:rPr>
          <w:rFonts w:asciiTheme="majorHAnsi" w:hAnsiTheme="majorHAnsi" w:cstheme="minorHAnsi"/>
          <w:szCs w:val="24"/>
          <w:lang w:val="sr-Latn-CS"/>
        </w:rPr>
        <w:t>ice” (Z. Bešić 1959. str.</w:t>
      </w:r>
      <w:r w:rsidR="00510626"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328)</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U istočnom dijelu</w:t>
      </w:r>
      <w:r w:rsidR="0007040B" w:rsidRPr="002A0BEE">
        <w:rPr>
          <w:rFonts w:asciiTheme="majorHAnsi" w:hAnsiTheme="majorHAnsi" w:cstheme="minorHAnsi"/>
          <w:szCs w:val="24"/>
          <w:lang w:val="sr-Latn-CS"/>
        </w:rPr>
        <w:t xml:space="preserve"> brda</w:t>
      </w:r>
      <w:r w:rsidR="00510626" w:rsidRPr="002A0BEE">
        <w:rPr>
          <w:rFonts w:asciiTheme="majorHAnsi" w:hAnsiTheme="majorHAnsi" w:cstheme="minorHAnsi"/>
          <w:szCs w:val="24"/>
          <w:lang w:val="sr-Latn-CS"/>
        </w:rPr>
        <w:t xml:space="preserve"> </w:t>
      </w:r>
      <w:r w:rsidR="0007040B" w:rsidRPr="002A0BEE">
        <w:rPr>
          <w:rFonts w:asciiTheme="majorHAnsi" w:hAnsiTheme="majorHAnsi" w:cstheme="minorHAnsi"/>
          <w:szCs w:val="24"/>
          <w:lang w:val="sr-Latn-CS"/>
        </w:rPr>
        <w:t xml:space="preserve">Visočica, </w:t>
      </w:r>
      <w:r w:rsidRPr="002A0BEE">
        <w:rPr>
          <w:rFonts w:asciiTheme="majorHAnsi" w:hAnsiTheme="majorHAnsi" w:cstheme="minorHAnsi"/>
          <w:szCs w:val="24"/>
          <w:lang w:val="sr-Latn-CS"/>
        </w:rPr>
        <w:t xml:space="preserve">u zoni </w:t>
      </w:r>
      <w:r w:rsidRPr="002A0BEE">
        <w:rPr>
          <w:rFonts w:asciiTheme="majorHAnsi" w:hAnsiTheme="majorHAnsi" w:cstheme="minorHAnsi"/>
          <w:szCs w:val="24"/>
          <w:lang w:val="sr-Latn-CS"/>
        </w:rPr>
        <w:lastRenderedPageBreak/>
        <w:t>tektonski iskidane krečnjačke mase,</w:t>
      </w:r>
      <w:r w:rsidR="0007040B" w:rsidRPr="002A0BEE">
        <w:rPr>
          <w:rFonts w:asciiTheme="majorHAnsi" w:hAnsiTheme="majorHAnsi" w:cstheme="minorHAnsi"/>
          <w:szCs w:val="24"/>
          <w:lang w:val="sr-Latn-CS"/>
        </w:rPr>
        <w:t xml:space="preserve"> D.</w:t>
      </w:r>
      <w:r w:rsidR="00510626"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Dragović (1963.</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našao je dokaze o  načinu vađenja blokova u doba Rimljana.</w:t>
      </w:r>
    </w:p>
    <w:p w:rsidR="00957AD0" w:rsidRPr="002A0BEE" w:rsidRDefault="00957AD0"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Geološkim istraživanjima šireg prostora, kojem pripada i prostor Visočice, bavio se veliki broj stranih  </w:t>
      </w:r>
      <w:r w:rsidR="00510626" w:rsidRPr="002A0BEE">
        <w:rPr>
          <w:rFonts w:asciiTheme="majorHAnsi" w:hAnsiTheme="majorHAnsi" w:cstheme="minorHAnsi"/>
          <w:szCs w:val="24"/>
          <w:lang w:val="sr-Latn-CS"/>
        </w:rPr>
        <w:t>i</w:t>
      </w:r>
      <w:r w:rsidRPr="002A0BEE">
        <w:rPr>
          <w:rFonts w:asciiTheme="majorHAnsi" w:hAnsiTheme="majorHAnsi" w:cstheme="minorHAnsi"/>
          <w:szCs w:val="24"/>
          <w:lang w:val="sr-Latn-CS"/>
        </w:rPr>
        <w:t xml:space="preserve"> domačih</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geologa od 1884.</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godine do danas. Najstarije pisane podatke, kao i za većinu naših krajeva, ostavili su: A.</w:t>
      </w:r>
      <w:r w:rsidR="00510626"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Tietze</w:t>
      </w:r>
      <w:r w:rsidR="00510626"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(1884.),</w:t>
      </w:r>
      <w:r w:rsidR="0007040B" w:rsidRPr="002A0BEE">
        <w:rPr>
          <w:rFonts w:asciiTheme="majorHAnsi" w:hAnsiTheme="majorHAnsi" w:cstheme="minorHAnsi"/>
          <w:szCs w:val="24"/>
          <w:lang w:val="sr-Latn-CS"/>
        </w:rPr>
        <w:t xml:space="preserve"> Hhassert (1885.) i</w:t>
      </w:r>
      <w:r w:rsidRPr="002A0BEE">
        <w:rPr>
          <w:rFonts w:asciiTheme="majorHAnsi" w:hAnsiTheme="majorHAnsi" w:cstheme="minorHAnsi"/>
          <w:szCs w:val="24"/>
          <w:lang w:val="sr-Latn-CS"/>
        </w:rPr>
        <w:t xml:space="preserve"> Baldacci (1889.), P.V. de Regny (19</w:t>
      </w:r>
      <w:r w:rsidR="0007040B" w:rsidRPr="002A0BEE">
        <w:rPr>
          <w:rFonts w:asciiTheme="majorHAnsi" w:hAnsiTheme="majorHAnsi" w:cstheme="minorHAnsi"/>
          <w:szCs w:val="24"/>
          <w:lang w:val="sr-Latn-CS"/>
        </w:rPr>
        <w:t>93.) i dr.  Od naših  istraživač</w:t>
      </w:r>
      <w:r w:rsidRPr="002A0BEE">
        <w:rPr>
          <w:rFonts w:asciiTheme="majorHAnsi" w:hAnsiTheme="majorHAnsi" w:cstheme="minorHAnsi"/>
          <w:szCs w:val="24"/>
          <w:lang w:val="sr-Latn-CS"/>
        </w:rPr>
        <w:t>a prve sačuvane literaturne podatke ostavio je J.</w:t>
      </w:r>
      <w:r w:rsidR="00510626"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Cvijić (1889.,</w:t>
      </w:r>
      <w:r w:rsidR="00510626"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1901.)</w:t>
      </w:r>
      <w:r w:rsidR="0007040B" w:rsidRPr="002A0BEE">
        <w:rPr>
          <w:rFonts w:asciiTheme="majorHAnsi" w:hAnsiTheme="majorHAnsi" w:cstheme="minorHAnsi"/>
          <w:szCs w:val="24"/>
          <w:lang w:val="sr-Latn-CS"/>
        </w:rPr>
        <w:t>.</w:t>
      </w:r>
    </w:p>
    <w:p w:rsidR="00957AD0" w:rsidRPr="002A0BEE" w:rsidRDefault="00957AD0"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Z.</w:t>
      </w:r>
      <w:r w:rsidR="009729F8"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Bešić je u monografiji“Geologija sjeverozapadne Crne Gore”</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(1953.) i “Geološkom vodiču” (1959.)</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dao vrlo detaljan prikaz geomorfološkog izgled</w:t>
      </w:r>
      <w:r w:rsidR="0007040B" w:rsidRPr="002A0BEE">
        <w:rPr>
          <w:rFonts w:asciiTheme="majorHAnsi" w:hAnsiTheme="majorHAnsi" w:cstheme="minorHAnsi"/>
          <w:szCs w:val="24"/>
          <w:lang w:val="sr-Latn-CS"/>
        </w:rPr>
        <w:t>a</w:t>
      </w:r>
      <w:r w:rsidRPr="002A0BEE">
        <w:rPr>
          <w:rFonts w:asciiTheme="majorHAnsi" w:hAnsiTheme="majorHAnsi" w:cstheme="minorHAnsi"/>
          <w:szCs w:val="24"/>
          <w:lang w:val="sr-Latn-CS"/>
        </w:rPr>
        <w:t>, stratigrafske p</w:t>
      </w:r>
      <w:r w:rsidR="0007040B" w:rsidRPr="002A0BEE">
        <w:rPr>
          <w:rFonts w:asciiTheme="majorHAnsi" w:hAnsiTheme="majorHAnsi" w:cstheme="minorHAnsi"/>
          <w:szCs w:val="24"/>
          <w:lang w:val="sr-Latn-CS"/>
        </w:rPr>
        <w:t>ripadnosti litološkog sastava i</w:t>
      </w:r>
      <w:r w:rsidRPr="002A0BEE">
        <w:rPr>
          <w:rFonts w:asciiTheme="majorHAnsi" w:hAnsiTheme="majorHAnsi" w:cstheme="minorHAnsi"/>
          <w:szCs w:val="24"/>
          <w:lang w:val="sr-Latn-CS"/>
        </w:rPr>
        <w:t xml:space="preserve"> tektonskog sklopa ovih terena, kao i podatke o kvalitetu, tehničkim osobinama </w:t>
      </w:r>
      <w:r w:rsidR="0007040B" w:rsidRPr="002A0BEE">
        <w:rPr>
          <w:rFonts w:asciiTheme="majorHAnsi" w:hAnsiTheme="majorHAnsi" w:cstheme="minorHAnsi"/>
          <w:szCs w:val="24"/>
          <w:lang w:val="sr-Latn-CS"/>
        </w:rPr>
        <w:t>i mogućnosti primjene krečnjaka sa ovog područja</w:t>
      </w:r>
      <w:r w:rsidRPr="002A0BEE">
        <w:rPr>
          <w:rFonts w:asciiTheme="majorHAnsi" w:hAnsiTheme="majorHAnsi" w:cstheme="minorHAnsi"/>
          <w:szCs w:val="24"/>
          <w:lang w:val="sr-Latn-CS"/>
        </w:rPr>
        <w:t xml:space="preserve"> u građevinskoj industriji.</w:t>
      </w:r>
    </w:p>
    <w:p w:rsidR="00957AD0" w:rsidRPr="002A0BEE" w:rsidRDefault="00957AD0"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Najpotpunije podatke o geološkoj građi krečnjačkog brda</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“Visočica”, zatim</w:t>
      </w:r>
      <w:r w:rsidR="0007040B"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o količini i kvalitetu krečnjaka</w:t>
      </w:r>
      <w:r w:rsidR="0007040B"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kao sirovini za tehnički građevinski kamen i sirovini za proizvodnju kreč</w:t>
      </w:r>
      <w:r w:rsidR="0007040B"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dao je D. Dragović i M. Kalezić</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(1960.) u objavljenom radu “Proračun rezer</w:t>
      </w:r>
      <w:r w:rsidR="0007040B" w:rsidRPr="002A0BEE">
        <w:rPr>
          <w:rFonts w:asciiTheme="majorHAnsi" w:hAnsiTheme="majorHAnsi" w:cstheme="minorHAnsi"/>
          <w:szCs w:val="24"/>
          <w:lang w:val="sr-Latn-CS"/>
        </w:rPr>
        <w:t>vi kombinacijom prirodnih i vještačkih profi</w:t>
      </w:r>
      <w:r w:rsidRPr="002A0BEE">
        <w:rPr>
          <w:rFonts w:asciiTheme="majorHAnsi" w:hAnsiTheme="majorHAnsi" w:cstheme="minorHAnsi"/>
          <w:szCs w:val="24"/>
          <w:lang w:val="sr-Latn-CS"/>
        </w:rPr>
        <w:t>la ležišta krečnjaka “Visoči</w:t>
      </w:r>
      <w:r w:rsidR="0007040B" w:rsidRPr="002A0BEE">
        <w:rPr>
          <w:rFonts w:asciiTheme="majorHAnsi" w:hAnsiTheme="majorHAnsi" w:cstheme="minorHAnsi"/>
          <w:szCs w:val="24"/>
          <w:lang w:val="sr-Latn-CS"/>
        </w:rPr>
        <w:t>ca</w:t>
      </w:r>
      <w:r w:rsidRPr="002A0BEE">
        <w:rPr>
          <w:rFonts w:asciiTheme="majorHAnsi" w:hAnsiTheme="majorHAnsi" w:cstheme="minorHAnsi"/>
          <w:szCs w:val="24"/>
          <w:lang w:val="sr-Latn-CS"/>
        </w:rPr>
        <w:t xml:space="preserve"> kod Spuža “</w:t>
      </w:r>
      <w:r w:rsidR="0007040B" w:rsidRPr="002A0BEE">
        <w:rPr>
          <w:rFonts w:asciiTheme="majorHAnsi" w:hAnsiTheme="majorHAnsi" w:cstheme="minorHAnsi"/>
          <w:szCs w:val="24"/>
          <w:lang w:val="sr-Latn-CS"/>
        </w:rPr>
        <w:t>.</w:t>
      </w:r>
    </w:p>
    <w:p w:rsidR="00957AD0" w:rsidRPr="002A0BEE" w:rsidRDefault="00957AD0"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Poslednji ovjereni Elaborat o proračunu rezervi i kvaliteta krečnjaka kao sirovini za tehnički građevinski kamen i sirovini za proizvodnju kreča ležišta “Visočica”, uradili su M. Čepić, M. Žugić i D. Dragović</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(1988.)</w:t>
      </w:r>
      <w:r w:rsidR="0007040B"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U Elaboratu je, na osnovu utvrđenih minerološko-petrografskih, hemijskih i fizičko mehaničkih svojstava, konstatovano da se kamen može koristiti za:</w:t>
      </w:r>
    </w:p>
    <w:p w:rsidR="0007040B" w:rsidRPr="002A0BEE" w:rsidRDefault="00957AD0" w:rsidP="0055031D">
      <w:pPr>
        <w:pStyle w:val="ListParagraph"/>
        <w:numPr>
          <w:ilvl w:val="1"/>
          <w:numId w:val="26"/>
        </w:numPr>
        <w:spacing w:after="0"/>
        <w:ind w:left="630"/>
        <w:jc w:val="both"/>
        <w:rPr>
          <w:rFonts w:asciiTheme="majorHAnsi" w:hAnsiTheme="majorHAnsi" w:cstheme="minorHAnsi"/>
          <w:szCs w:val="24"/>
          <w:lang w:val="sr-Latn-CS"/>
        </w:rPr>
      </w:pPr>
      <w:r w:rsidRPr="002A0BEE">
        <w:rPr>
          <w:rFonts w:asciiTheme="majorHAnsi" w:hAnsiTheme="majorHAnsi" w:cstheme="minorHAnsi"/>
          <w:szCs w:val="24"/>
          <w:lang w:val="sr-Latn-CS"/>
        </w:rPr>
        <w:t>proizvodnju industrijskog, hidratisanog i komadnog kreč</w:t>
      </w:r>
      <w:r w:rsidR="0007040B" w:rsidRPr="002A0BEE">
        <w:rPr>
          <w:rFonts w:asciiTheme="majorHAnsi" w:hAnsiTheme="majorHAnsi" w:cstheme="minorHAnsi"/>
          <w:szCs w:val="24"/>
          <w:lang w:val="sr-Latn-CS"/>
        </w:rPr>
        <w:t>a</w:t>
      </w:r>
      <w:r w:rsidRPr="002A0BEE">
        <w:rPr>
          <w:rFonts w:asciiTheme="majorHAnsi" w:hAnsiTheme="majorHAnsi" w:cstheme="minorHAnsi"/>
          <w:szCs w:val="24"/>
          <w:lang w:val="sr-Latn-CS"/>
        </w:rPr>
        <w:t xml:space="preserve"> i</w:t>
      </w:r>
    </w:p>
    <w:p w:rsidR="0030688C" w:rsidRPr="002A0BEE" w:rsidRDefault="00957AD0" w:rsidP="0055031D">
      <w:pPr>
        <w:pStyle w:val="ListParagraph"/>
        <w:numPr>
          <w:ilvl w:val="1"/>
          <w:numId w:val="26"/>
        </w:numPr>
        <w:spacing w:after="0"/>
        <w:ind w:left="630"/>
        <w:jc w:val="both"/>
        <w:rPr>
          <w:rFonts w:asciiTheme="majorHAnsi" w:hAnsiTheme="majorHAnsi" w:cstheme="minorHAnsi"/>
          <w:szCs w:val="24"/>
          <w:lang w:val="sr-Latn-CS"/>
        </w:rPr>
      </w:pPr>
      <w:r w:rsidRPr="002A0BEE">
        <w:rPr>
          <w:rFonts w:asciiTheme="majorHAnsi" w:hAnsiTheme="majorHAnsi" w:cstheme="minorHAnsi"/>
          <w:szCs w:val="24"/>
          <w:lang w:val="sr-Latn-CS"/>
        </w:rPr>
        <w:t>proizvodnju kamenog agregata za upotrebu u građevinarstvu.</w:t>
      </w:r>
    </w:p>
    <w:p w:rsidR="00957AD0" w:rsidRPr="002A0BEE" w:rsidRDefault="00957AD0"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Na osnovu podataka o</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hemi</w:t>
      </w:r>
      <w:r w:rsidR="0007040B" w:rsidRPr="002A0BEE">
        <w:rPr>
          <w:rFonts w:asciiTheme="majorHAnsi" w:hAnsiTheme="majorHAnsi" w:cstheme="minorHAnsi"/>
          <w:szCs w:val="24"/>
          <w:lang w:val="sr-Latn-CS"/>
        </w:rPr>
        <w:t>jskom sastavu, fizičko-mehaničkih i minera</w:t>
      </w:r>
      <w:r w:rsidRPr="002A0BEE">
        <w:rPr>
          <w:rFonts w:asciiTheme="majorHAnsi" w:hAnsiTheme="majorHAnsi" w:cstheme="minorHAnsi"/>
          <w:szCs w:val="24"/>
          <w:lang w:val="sr-Latn-CS"/>
        </w:rPr>
        <w:t>loško–petrografskih karakte</w:t>
      </w:r>
      <w:r w:rsidR="0007040B" w:rsidRPr="002A0BEE">
        <w:rPr>
          <w:rFonts w:asciiTheme="majorHAnsi" w:hAnsiTheme="majorHAnsi" w:cstheme="minorHAnsi"/>
          <w:szCs w:val="24"/>
          <w:lang w:val="sr-Latn-CS"/>
        </w:rPr>
        <w:t>r</w:t>
      </w:r>
      <w:r w:rsidRPr="002A0BEE">
        <w:rPr>
          <w:rFonts w:asciiTheme="majorHAnsi" w:hAnsiTheme="majorHAnsi" w:cstheme="minorHAnsi"/>
          <w:szCs w:val="24"/>
          <w:lang w:val="sr-Latn-CS"/>
        </w:rPr>
        <w:t>istika, utvrđenih tehničkih uslova i literaturnih podataka procijenjeno je da krečnjak “Visočice”</w:t>
      </w:r>
      <w:r w:rsidR="0007040B"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obrađen u praškastu masu</w:t>
      </w:r>
      <w:r w:rsidR="0007040B"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može da</w:t>
      </w:r>
      <w:r w:rsidR="0007040B" w:rsidRPr="002A0BEE">
        <w:rPr>
          <w:rFonts w:asciiTheme="majorHAnsi" w:hAnsiTheme="majorHAnsi" w:cstheme="minorHAnsi"/>
          <w:szCs w:val="24"/>
          <w:lang w:val="sr-Latn-CS"/>
        </w:rPr>
        <w:t xml:space="preserve"> se koristiti</w:t>
      </w:r>
      <w:r w:rsidRPr="002A0BEE">
        <w:rPr>
          <w:rFonts w:asciiTheme="majorHAnsi" w:hAnsiTheme="majorHAnsi" w:cstheme="minorHAnsi"/>
          <w:szCs w:val="24"/>
          <w:lang w:val="sr-Latn-CS"/>
        </w:rPr>
        <w:t xml:space="preserve"> i za: </w:t>
      </w:r>
    </w:p>
    <w:p w:rsidR="006F3C68" w:rsidRPr="002A0BEE" w:rsidRDefault="00957AD0" w:rsidP="0055031D">
      <w:pPr>
        <w:pStyle w:val="ListParagraph"/>
        <w:numPr>
          <w:ilvl w:val="1"/>
          <w:numId w:val="39"/>
        </w:numPr>
        <w:ind w:left="630"/>
        <w:rPr>
          <w:rFonts w:asciiTheme="majorHAnsi" w:hAnsiTheme="majorHAnsi"/>
          <w:szCs w:val="24"/>
          <w:lang w:val="sr-Latn-CS"/>
        </w:rPr>
      </w:pPr>
      <w:r w:rsidRPr="002A0BEE">
        <w:rPr>
          <w:rFonts w:asciiTheme="majorHAnsi" w:hAnsiTheme="majorHAnsi" w:cstheme="minorHAnsi"/>
          <w:szCs w:val="24"/>
          <w:lang w:val="sr-Latn-CS"/>
        </w:rPr>
        <w:t>kacijalno karbonatno punil</w:t>
      </w:r>
      <w:r w:rsidR="0007040B" w:rsidRPr="002A0BEE">
        <w:rPr>
          <w:rFonts w:asciiTheme="majorHAnsi" w:hAnsiTheme="majorHAnsi" w:cstheme="minorHAnsi"/>
          <w:szCs w:val="24"/>
          <w:lang w:val="sr-Latn-CS"/>
        </w:rPr>
        <w:t xml:space="preserve">o: u industriji guma, boja i lakova, šećera, </w:t>
      </w:r>
      <w:r w:rsidRPr="002A0BEE">
        <w:rPr>
          <w:rFonts w:asciiTheme="majorHAnsi" w:hAnsiTheme="majorHAnsi" w:cstheme="minorHAnsi"/>
          <w:szCs w:val="24"/>
          <w:lang w:val="sr-Latn-CS"/>
        </w:rPr>
        <w:t>s</w:t>
      </w:r>
      <w:r w:rsidR="0007040B" w:rsidRPr="002A0BEE">
        <w:rPr>
          <w:rFonts w:asciiTheme="majorHAnsi" w:hAnsiTheme="majorHAnsi" w:cstheme="minorHAnsi"/>
          <w:szCs w:val="24"/>
          <w:lang w:val="sr-Latn-CS"/>
        </w:rPr>
        <w:t>takla, u</w:t>
      </w:r>
      <w:r w:rsidRPr="002A0BEE">
        <w:rPr>
          <w:rFonts w:asciiTheme="majorHAnsi" w:hAnsiTheme="majorHAnsi" w:cstheme="minorHAnsi"/>
          <w:szCs w:val="24"/>
          <w:lang w:val="sr-Latn-CS"/>
        </w:rPr>
        <w:t xml:space="preserve"> metalurgiji i</w:t>
      </w:r>
    </w:p>
    <w:p w:rsidR="00957AD0" w:rsidRPr="002A0BEE" w:rsidRDefault="00957AD0" w:rsidP="0055031D">
      <w:pPr>
        <w:pStyle w:val="ListParagraph"/>
        <w:numPr>
          <w:ilvl w:val="1"/>
          <w:numId w:val="39"/>
        </w:numPr>
        <w:ind w:left="630"/>
        <w:rPr>
          <w:rFonts w:asciiTheme="majorHAnsi" w:hAnsiTheme="majorHAnsi" w:cstheme="minorHAnsi"/>
          <w:szCs w:val="24"/>
          <w:lang w:val="sr-Latn-CS"/>
        </w:rPr>
      </w:pPr>
      <w:r w:rsidRPr="002A0BEE">
        <w:rPr>
          <w:rFonts w:asciiTheme="majorHAnsi" w:hAnsiTheme="majorHAnsi" w:cstheme="minorHAnsi"/>
          <w:szCs w:val="24"/>
          <w:lang w:val="sr-Latn-CS"/>
        </w:rPr>
        <w:t>proizvodnji hartije, kalcijum karbida i stočne hrane.</w:t>
      </w:r>
    </w:p>
    <w:p w:rsidR="00957AD0" w:rsidRPr="002A0BEE" w:rsidRDefault="00957AD0"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Na osnovu geoloških i dekorativnih kriterijuma i utvrđenih miner</w:t>
      </w:r>
      <w:r w:rsidR="0007040B" w:rsidRPr="002A0BEE">
        <w:rPr>
          <w:rFonts w:asciiTheme="majorHAnsi" w:hAnsiTheme="majorHAnsi" w:cstheme="minorHAnsi"/>
          <w:szCs w:val="24"/>
          <w:lang w:val="sr-Latn-CS"/>
        </w:rPr>
        <w:t>a</w:t>
      </w:r>
      <w:r w:rsidRPr="002A0BEE">
        <w:rPr>
          <w:rFonts w:asciiTheme="majorHAnsi" w:hAnsiTheme="majorHAnsi" w:cstheme="minorHAnsi"/>
          <w:szCs w:val="24"/>
          <w:lang w:val="sr-Latn-CS"/>
        </w:rPr>
        <w:t>l</w:t>
      </w:r>
      <w:r w:rsidR="0007040B" w:rsidRPr="002A0BEE">
        <w:rPr>
          <w:rFonts w:asciiTheme="majorHAnsi" w:hAnsiTheme="majorHAnsi" w:cstheme="minorHAnsi"/>
          <w:szCs w:val="24"/>
          <w:lang w:val="sr-Latn-CS"/>
        </w:rPr>
        <w:t>o</w:t>
      </w:r>
      <w:r w:rsidRPr="002A0BEE">
        <w:rPr>
          <w:rFonts w:asciiTheme="majorHAnsi" w:hAnsiTheme="majorHAnsi" w:cstheme="minorHAnsi"/>
          <w:szCs w:val="24"/>
          <w:lang w:val="sr-Latn-CS"/>
        </w:rPr>
        <w:t>ško-petrografskih i fizičko mehaničkih svojstava autori Elaborata predložili su i izvođenje</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detaljnih geoloških istraživanja krečnjaka u cilju utvrđivanja mugućnosti dobijanja monolita (blokova) za proizvodnju  arhitektonskog građevinskog kamena (AGK).</w:t>
      </w:r>
    </w:p>
    <w:p w:rsidR="00957AD0" w:rsidRPr="002A0BEE" w:rsidRDefault="00957AD0" w:rsidP="006F3C68">
      <w:pPr>
        <w:jc w:val="both"/>
        <w:rPr>
          <w:rFonts w:asciiTheme="majorHAnsi" w:hAnsiTheme="majorHAnsi" w:cstheme="minorHAnsi"/>
          <w:i/>
          <w:szCs w:val="24"/>
          <w:lang w:val="sr-Latn-CS"/>
        </w:rPr>
      </w:pPr>
      <w:r w:rsidRPr="002A0BEE">
        <w:rPr>
          <w:rFonts w:asciiTheme="majorHAnsi" w:hAnsiTheme="majorHAnsi" w:cstheme="minorHAnsi"/>
          <w:szCs w:val="24"/>
          <w:lang w:val="sr-Latn-CS"/>
        </w:rPr>
        <w:lastRenderedPageBreak/>
        <w:t>Detaljna geološka israživanja</w:t>
      </w:r>
      <w:r w:rsidR="0007040B" w:rsidRPr="002A0BEE">
        <w:rPr>
          <w:rFonts w:asciiTheme="majorHAnsi" w:hAnsiTheme="majorHAnsi" w:cstheme="minorHAnsi"/>
          <w:szCs w:val="24"/>
          <w:lang w:val="sr-Latn-CS"/>
        </w:rPr>
        <w:t xml:space="preserve"> arhitektonsko-</w:t>
      </w:r>
      <w:r w:rsidRPr="002A0BEE">
        <w:rPr>
          <w:rFonts w:asciiTheme="majorHAnsi" w:hAnsiTheme="majorHAnsi" w:cstheme="minorHAnsi"/>
          <w:szCs w:val="24"/>
          <w:lang w:val="sr-Latn-CS"/>
        </w:rPr>
        <w:t>građevinskog kamena u brdu Visočica, kao i izradu Elaborat</w:t>
      </w:r>
      <w:r w:rsidR="0007040B" w:rsidRPr="002A0BEE">
        <w:rPr>
          <w:rFonts w:asciiTheme="majorHAnsi" w:hAnsiTheme="majorHAnsi" w:cstheme="minorHAnsi"/>
          <w:szCs w:val="24"/>
          <w:lang w:val="sr-Latn-CS"/>
        </w:rPr>
        <w:t>a</w:t>
      </w:r>
      <w:r w:rsidRPr="002A0BEE">
        <w:rPr>
          <w:rFonts w:asciiTheme="majorHAnsi" w:hAnsiTheme="majorHAnsi" w:cstheme="minorHAnsi"/>
          <w:szCs w:val="24"/>
          <w:lang w:val="sr-Latn-CS"/>
        </w:rPr>
        <w:t xml:space="preserve"> o rezervama,</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xml:space="preserve">uradio je </w:t>
      </w:r>
      <w:r w:rsidR="0007040B" w:rsidRPr="002A0BEE">
        <w:rPr>
          <w:rFonts w:asciiTheme="majorHAnsi" w:hAnsiTheme="majorHAnsi" w:cstheme="minorHAnsi"/>
          <w:szCs w:val="24"/>
          <w:lang w:val="sr-Latn-CS"/>
        </w:rPr>
        <w:t>Institut</w:t>
      </w:r>
      <w:r w:rsidRPr="002A0BEE">
        <w:rPr>
          <w:rFonts w:asciiTheme="majorHAnsi" w:hAnsiTheme="majorHAnsi" w:cstheme="minorHAnsi"/>
          <w:szCs w:val="24"/>
          <w:lang w:val="sr-Latn-CS"/>
        </w:rPr>
        <w:t xml:space="preserve"> za tehnička istraživanja, Podgorica, J. Žic i M. Milivojević ( 2000.)</w:t>
      </w:r>
    </w:p>
    <w:p w:rsidR="00957AD0" w:rsidRPr="002A0BEE" w:rsidRDefault="00957AD0"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Elaborate o rezervama arhitektonsko</w:t>
      </w:r>
      <w:r w:rsidR="00997545" w:rsidRPr="002A0BEE">
        <w:rPr>
          <w:rFonts w:asciiTheme="majorHAnsi" w:hAnsiTheme="majorHAnsi" w:cstheme="minorHAnsi"/>
          <w:szCs w:val="24"/>
          <w:lang w:val="sr-Latn-CS"/>
        </w:rPr>
        <w:t>-</w:t>
      </w:r>
      <w:r w:rsidRPr="002A0BEE">
        <w:rPr>
          <w:rFonts w:asciiTheme="majorHAnsi" w:hAnsiTheme="majorHAnsi" w:cstheme="minorHAnsi"/>
          <w:szCs w:val="24"/>
          <w:lang w:val="sr-Latn-CS"/>
        </w:rPr>
        <w:t>građevinskog i tehničko</w:t>
      </w:r>
      <w:r w:rsidR="00997545"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građevinskog kamena </w:t>
      </w:r>
      <w:r w:rsidR="0007040B" w:rsidRPr="002A0BEE">
        <w:rPr>
          <w:rFonts w:asciiTheme="majorHAnsi" w:hAnsiTheme="majorHAnsi" w:cstheme="minorHAnsi"/>
          <w:szCs w:val="24"/>
          <w:lang w:val="sr-Latn-CS"/>
        </w:rPr>
        <w:t xml:space="preserve">u </w:t>
      </w:r>
      <w:r w:rsidRPr="002A0BEE">
        <w:rPr>
          <w:rFonts w:asciiTheme="majorHAnsi" w:hAnsiTheme="majorHAnsi" w:cstheme="minorHAnsi"/>
          <w:szCs w:val="24"/>
          <w:lang w:val="sr-Latn-CS"/>
        </w:rPr>
        <w:t>ležištu „Visočica“ (stanja</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rezervi u ležištu 31.12.2007. i 31.12.2012. godine)</w:t>
      </w:r>
      <w:r w:rsidR="0007040B"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xml:space="preserve">uradila je JU </w:t>
      </w:r>
      <w:r w:rsidR="0007040B" w:rsidRPr="002A0BEE">
        <w:rPr>
          <w:rFonts w:asciiTheme="majorHAnsi" w:hAnsiTheme="majorHAnsi" w:cstheme="minorHAnsi"/>
          <w:szCs w:val="24"/>
          <w:lang w:val="sr-Latn-CS"/>
        </w:rPr>
        <w:t xml:space="preserve">Zavod za geološka istraživanja - </w:t>
      </w:r>
      <w:r w:rsidRPr="002A0BEE">
        <w:rPr>
          <w:rFonts w:asciiTheme="majorHAnsi" w:hAnsiTheme="majorHAnsi" w:cstheme="minorHAnsi"/>
          <w:szCs w:val="24"/>
          <w:lang w:val="sr-Latn-CS"/>
        </w:rPr>
        <w:t>Podgorica</w:t>
      </w:r>
      <w:r w:rsidR="0007040B" w:rsidRPr="002A0BEE">
        <w:rPr>
          <w:rFonts w:asciiTheme="majorHAnsi" w:hAnsiTheme="majorHAnsi" w:cstheme="minorHAnsi"/>
          <w:szCs w:val="24"/>
          <w:lang w:val="sr-Latn-CS"/>
        </w:rPr>
        <w:t>.</w:t>
      </w:r>
    </w:p>
    <w:p w:rsidR="00957AD0" w:rsidRPr="002A0BEE" w:rsidRDefault="00957AD0" w:rsidP="006F3C68">
      <w:pPr>
        <w:pStyle w:val="ListParagraph"/>
        <w:numPr>
          <w:ilvl w:val="2"/>
          <w:numId w:val="9"/>
        </w:numPr>
        <w:contextualSpacing w:val="0"/>
        <w:jc w:val="both"/>
        <w:rPr>
          <w:rFonts w:asciiTheme="majorHAnsi" w:eastAsia="Calibri" w:hAnsiTheme="majorHAnsi" w:cstheme="minorHAnsi"/>
          <w:color w:val="000000"/>
          <w:szCs w:val="24"/>
          <w:lang w:val="sr-Latn-CS"/>
        </w:rPr>
      </w:pPr>
      <w:r w:rsidRPr="002A0BEE">
        <w:rPr>
          <w:rFonts w:asciiTheme="majorHAnsi" w:hAnsiTheme="majorHAnsi" w:cstheme="minorHAnsi"/>
          <w:b/>
          <w:szCs w:val="24"/>
          <w:lang w:val="sr-Latn-CS"/>
        </w:rPr>
        <w:t>Geološk</w:t>
      </w:r>
      <w:r w:rsidR="00997545" w:rsidRPr="002A0BEE">
        <w:rPr>
          <w:rFonts w:asciiTheme="majorHAnsi" w:hAnsiTheme="majorHAnsi" w:cstheme="minorHAnsi"/>
          <w:b/>
          <w:szCs w:val="24"/>
          <w:lang w:val="sr-Latn-CS"/>
        </w:rPr>
        <w:t>e</w:t>
      </w:r>
      <w:r w:rsidRPr="002A0BEE">
        <w:rPr>
          <w:rFonts w:asciiTheme="majorHAnsi" w:hAnsiTheme="majorHAnsi" w:cstheme="minorHAnsi"/>
          <w:b/>
          <w:szCs w:val="24"/>
          <w:lang w:val="sr-Latn-CS"/>
        </w:rPr>
        <w:t xml:space="preserve"> karkteristike</w:t>
      </w:r>
      <w:r w:rsidRPr="002A0BEE">
        <w:rPr>
          <w:rFonts w:asciiTheme="majorHAnsi" w:eastAsia="Calibri" w:hAnsiTheme="majorHAnsi" w:cstheme="minorHAnsi"/>
          <w:color w:val="000000"/>
          <w:szCs w:val="24"/>
          <w:lang w:val="sr-Latn-CS"/>
        </w:rPr>
        <w:t xml:space="preserve"> </w:t>
      </w:r>
    </w:p>
    <w:p w:rsidR="00957AD0" w:rsidRPr="002A0BEE" w:rsidRDefault="00957AD0" w:rsidP="006F3C68">
      <w:pPr>
        <w:autoSpaceDE w:val="0"/>
        <w:autoSpaceDN w:val="0"/>
        <w:adjustRightInd w:val="0"/>
        <w:jc w:val="both"/>
        <w:rPr>
          <w:rFonts w:asciiTheme="majorHAnsi" w:eastAsia="Calibri" w:hAnsiTheme="majorHAnsi" w:cstheme="minorHAnsi"/>
          <w:color w:val="000000"/>
          <w:szCs w:val="24"/>
          <w:lang w:val="sr-Latn-CS"/>
        </w:rPr>
      </w:pPr>
      <w:r w:rsidRPr="002A0BEE">
        <w:rPr>
          <w:rFonts w:asciiTheme="majorHAnsi" w:eastAsia="Calibri" w:hAnsiTheme="majorHAnsi" w:cstheme="minorHAnsi"/>
          <w:color w:val="000000"/>
          <w:szCs w:val="24"/>
          <w:lang w:val="sr-Latn-CS"/>
        </w:rPr>
        <w:t xml:space="preserve">U geološkoj građi </w:t>
      </w:r>
      <w:r w:rsidRPr="002A0BEE">
        <w:rPr>
          <w:rFonts w:asciiTheme="majorHAnsi" w:hAnsiTheme="majorHAnsi" w:cstheme="minorHAnsi"/>
          <w:szCs w:val="24"/>
          <w:lang w:val="sr-Latn-CS"/>
        </w:rPr>
        <w:t>istražno-eksploatacionog prostora,</w:t>
      </w:r>
      <w:r w:rsidR="00050AF2" w:rsidRPr="002A0BEE">
        <w:rPr>
          <w:rFonts w:asciiTheme="majorHAnsi" w:eastAsia="Calibri" w:hAnsiTheme="majorHAnsi" w:cstheme="minorHAnsi"/>
          <w:color w:val="000000"/>
          <w:szCs w:val="24"/>
          <w:lang w:val="sr-Latn-CS"/>
        </w:rPr>
        <w:t xml:space="preserve"> </w:t>
      </w:r>
      <w:r w:rsidRPr="002A0BEE">
        <w:rPr>
          <w:rFonts w:asciiTheme="majorHAnsi" w:eastAsia="Calibri" w:hAnsiTheme="majorHAnsi" w:cstheme="minorHAnsi"/>
          <w:color w:val="000000"/>
          <w:szCs w:val="24"/>
          <w:lang w:val="sr-Latn-CS"/>
        </w:rPr>
        <w:t>odnosno</w:t>
      </w:r>
      <w:r w:rsidR="00050AF2" w:rsidRPr="002A0BEE">
        <w:rPr>
          <w:rFonts w:asciiTheme="majorHAnsi" w:eastAsia="Calibri" w:hAnsiTheme="majorHAnsi" w:cstheme="minorHAnsi"/>
          <w:color w:val="000000"/>
          <w:szCs w:val="24"/>
          <w:lang w:val="sr-Latn-CS"/>
        </w:rPr>
        <w:t xml:space="preserve"> </w:t>
      </w:r>
      <w:r w:rsidRPr="002A0BEE">
        <w:rPr>
          <w:rFonts w:asciiTheme="majorHAnsi" w:eastAsia="Calibri" w:hAnsiTheme="majorHAnsi" w:cstheme="minorHAnsi"/>
          <w:color w:val="000000"/>
          <w:szCs w:val="24"/>
          <w:lang w:val="sr-Latn-CS"/>
        </w:rPr>
        <w:t>brda/ležišta tehničko-građevinskog i arhitektonsko-građevinskog kamena „Visočic</w:t>
      </w:r>
      <w:r w:rsidR="00050AF2" w:rsidRPr="002A0BEE">
        <w:rPr>
          <w:rFonts w:asciiTheme="majorHAnsi" w:eastAsia="Calibri" w:hAnsiTheme="majorHAnsi" w:cstheme="minorHAnsi"/>
          <w:color w:val="000000"/>
          <w:szCs w:val="24"/>
          <w:lang w:val="sr-Latn-CS"/>
        </w:rPr>
        <w:t xml:space="preserve">a “ </w:t>
      </w:r>
      <w:r w:rsidRPr="002A0BEE">
        <w:rPr>
          <w:rFonts w:asciiTheme="majorHAnsi" w:eastAsia="Calibri" w:hAnsiTheme="majorHAnsi" w:cstheme="minorHAnsi"/>
          <w:color w:val="000000"/>
          <w:szCs w:val="24"/>
          <w:lang w:val="sr-Latn-CS"/>
        </w:rPr>
        <w:t xml:space="preserve">učestvuju karbonatni sedimenti gornje krede, paleocena, eocena i kvartara.  </w:t>
      </w:r>
    </w:p>
    <w:p w:rsidR="00957AD0" w:rsidRPr="002A0BEE" w:rsidRDefault="00957AD0" w:rsidP="006F3C68">
      <w:pPr>
        <w:autoSpaceDE w:val="0"/>
        <w:autoSpaceDN w:val="0"/>
        <w:adjustRightInd w:val="0"/>
        <w:jc w:val="both"/>
        <w:rPr>
          <w:rFonts w:asciiTheme="majorHAnsi" w:eastAsia="Calibri" w:hAnsiTheme="majorHAnsi" w:cstheme="minorHAnsi"/>
          <w:color w:val="000000"/>
          <w:szCs w:val="24"/>
          <w:lang w:val="sr-Latn-CS"/>
        </w:rPr>
      </w:pPr>
      <w:r w:rsidRPr="002A0BEE">
        <w:rPr>
          <w:rFonts w:asciiTheme="majorHAnsi" w:eastAsia="Calibri" w:hAnsiTheme="majorHAnsi" w:cstheme="minorHAnsi"/>
          <w:b/>
          <w:color w:val="000000"/>
          <w:szCs w:val="24"/>
          <w:u w:val="single"/>
          <w:lang w:val="sr-Latn-CS"/>
        </w:rPr>
        <w:t>Gornjokredni krečnjaci (K</w:t>
      </w:r>
      <w:r w:rsidRPr="002A0BEE">
        <w:rPr>
          <w:rFonts w:asciiTheme="majorHAnsi" w:eastAsia="Calibri" w:hAnsiTheme="majorHAnsi" w:cstheme="minorHAnsi"/>
          <w:b/>
          <w:color w:val="000000"/>
          <w:szCs w:val="24"/>
          <w:u w:val="single"/>
          <w:vertAlign w:val="subscript"/>
          <w:lang w:val="sr-Latn-CS"/>
        </w:rPr>
        <w:t>2</w:t>
      </w:r>
      <w:r w:rsidRPr="002A0BEE">
        <w:rPr>
          <w:rFonts w:asciiTheme="majorHAnsi" w:eastAsia="Calibri" w:hAnsiTheme="majorHAnsi" w:cstheme="minorHAnsi"/>
          <w:color w:val="000000"/>
          <w:szCs w:val="24"/>
          <w:u w:val="single"/>
          <w:lang w:val="sr-Latn-CS"/>
        </w:rPr>
        <w:t>)</w:t>
      </w:r>
      <w:r w:rsidRPr="002A0BEE">
        <w:rPr>
          <w:rFonts w:asciiTheme="majorHAnsi" w:eastAsia="Calibri" w:hAnsiTheme="majorHAnsi" w:cstheme="minorHAnsi"/>
          <w:color w:val="000000"/>
          <w:szCs w:val="24"/>
          <w:lang w:val="sr-Latn-CS"/>
        </w:rPr>
        <w:t xml:space="preserve"> Izgrađuju najveći dio brda i predstavljaju paleorelje</w:t>
      </w:r>
      <w:r w:rsidR="00050AF2" w:rsidRPr="002A0BEE">
        <w:rPr>
          <w:rFonts w:asciiTheme="majorHAnsi" w:eastAsia="Calibri" w:hAnsiTheme="majorHAnsi" w:cstheme="minorHAnsi"/>
          <w:color w:val="000000"/>
          <w:szCs w:val="24"/>
          <w:lang w:val="sr-Latn-CS"/>
        </w:rPr>
        <w:t>f mlađim sedimentima. Oni su, u</w:t>
      </w:r>
      <w:r w:rsidRPr="002A0BEE">
        <w:rPr>
          <w:rFonts w:asciiTheme="majorHAnsi" w:eastAsia="Calibri" w:hAnsiTheme="majorHAnsi" w:cstheme="minorHAnsi"/>
          <w:color w:val="000000"/>
          <w:szCs w:val="24"/>
          <w:lang w:val="sr-Latn-CS"/>
        </w:rPr>
        <w:t>stvari, mineralna sirovina koja je predme</w:t>
      </w:r>
      <w:r w:rsidR="00050AF2" w:rsidRPr="002A0BEE">
        <w:rPr>
          <w:rFonts w:asciiTheme="majorHAnsi" w:eastAsia="Calibri" w:hAnsiTheme="majorHAnsi" w:cstheme="minorHAnsi"/>
          <w:color w:val="000000"/>
          <w:szCs w:val="24"/>
          <w:lang w:val="sr-Latn-CS"/>
        </w:rPr>
        <w:t>t</w:t>
      </w:r>
      <w:r w:rsidRPr="002A0BEE">
        <w:rPr>
          <w:rFonts w:asciiTheme="majorHAnsi" w:eastAsia="Calibri" w:hAnsiTheme="majorHAnsi" w:cstheme="minorHAnsi"/>
          <w:color w:val="000000"/>
          <w:szCs w:val="24"/>
          <w:lang w:val="sr-Latn-CS"/>
        </w:rPr>
        <w:t xml:space="preserve"> koncesione aktivnosti. Njoj/mineralnoj sirovini pripadaju dva super poziciona kredna paketa krečnjaka, koja po starosti odgovraju gornjem kampanu i donjem mastrihtu:</w:t>
      </w:r>
    </w:p>
    <w:p w:rsidR="00957AD0" w:rsidRPr="002A0BEE" w:rsidRDefault="00957AD0" w:rsidP="0055031D">
      <w:pPr>
        <w:pStyle w:val="ListParagraph"/>
        <w:numPr>
          <w:ilvl w:val="0"/>
          <w:numId w:val="34"/>
        </w:numPr>
        <w:ind w:left="426" w:hanging="219"/>
        <w:contextualSpacing w:val="0"/>
        <w:jc w:val="both"/>
        <w:rPr>
          <w:rFonts w:asciiTheme="majorHAnsi" w:eastAsia="Calibri" w:hAnsiTheme="majorHAnsi" w:cstheme="minorHAnsi"/>
          <w:szCs w:val="24"/>
          <w:lang w:val="sr-Latn-CS"/>
        </w:rPr>
      </w:pPr>
      <w:r w:rsidRPr="002A0BEE">
        <w:rPr>
          <w:rFonts w:asciiTheme="majorHAnsi" w:eastAsia="Calibri" w:hAnsiTheme="majorHAnsi" w:cstheme="minorHAnsi"/>
          <w:i/>
          <w:szCs w:val="24"/>
          <w:u w:val="single"/>
          <w:lang w:val="sr-Latn-CS"/>
        </w:rPr>
        <w:t>Prvi super pozicioni paket (</w:t>
      </w:r>
      <w:r w:rsidRPr="002A0BEE">
        <w:rPr>
          <w:rFonts w:asciiTheme="majorHAnsi" w:eastAsia="Calibri" w:hAnsiTheme="majorHAnsi" w:cstheme="minorHAnsi"/>
          <w:i/>
          <w:szCs w:val="24"/>
          <w:u w:val="single"/>
          <w:vertAlign w:val="superscript"/>
          <w:lang w:val="sr-Latn-CS"/>
        </w:rPr>
        <w:t>1</w:t>
      </w:r>
      <w:r w:rsidRPr="002A0BEE">
        <w:rPr>
          <w:rFonts w:asciiTheme="majorHAnsi" w:eastAsia="Calibri" w:hAnsiTheme="majorHAnsi" w:cstheme="minorHAnsi"/>
          <w:i/>
          <w:szCs w:val="24"/>
          <w:u w:val="single"/>
          <w:lang w:val="sr-Latn-CS"/>
        </w:rPr>
        <w:t>K</w:t>
      </w:r>
      <w:r w:rsidRPr="002A0BEE">
        <w:rPr>
          <w:rFonts w:asciiTheme="majorHAnsi" w:eastAsia="Calibri" w:hAnsiTheme="majorHAnsi" w:cstheme="minorHAnsi"/>
          <w:i/>
          <w:szCs w:val="24"/>
          <w:u w:val="single"/>
          <w:vertAlign w:val="subscript"/>
          <w:lang w:val="sr-Latn-CS"/>
        </w:rPr>
        <w:t>2</w:t>
      </w:r>
      <w:r w:rsidRPr="002A0BEE">
        <w:rPr>
          <w:rFonts w:asciiTheme="majorHAnsi" w:eastAsia="Calibri" w:hAnsiTheme="majorHAnsi" w:cstheme="minorHAnsi"/>
          <w:i/>
          <w:szCs w:val="24"/>
          <w:u w:val="single"/>
          <w:vertAlign w:val="superscript"/>
          <w:lang w:val="sr-Latn-CS"/>
        </w:rPr>
        <w:t>5,6</w:t>
      </w:r>
      <w:r w:rsidRPr="002A0BEE">
        <w:rPr>
          <w:rFonts w:asciiTheme="majorHAnsi" w:eastAsia="Calibri" w:hAnsiTheme="majorHAnsi" w:cstheme="minorHAnsi"/>
          <w:i/>
          <w:szCs w:val="24"/>
          <w:u w:val="single"/>
          <w:lang w:val="sr-Latn-CS"/>
        </w:rPr>
        <w:t>)</w:t>
      </w:r>
      <w:r w:rsidRPr="002A0BEE">
        <w:rPr>
          <w:rFonts w:asciiTheme="majorHAnsi" w:eastAsia="Calibri" w:hAnsiTheme="majorHAnsi" w:cstheme="minorHAnsi"/>
          <w:szCs w:val="24"/>
          <w:lang w:val="sr-Latn-CS"/>
        </w:rPr>
        <w:t xml:space="preserve"> krečnjaka, koji prema sedimenotološkim karakteristikama pripada kalciruditima, izgrađuje najviši dio brda Visočica. Sačinjavaju ga debelobankoviti organogenosprudni kristalast i masivni „konglomeratični“ ili „zrnasti“ krečnjaci,</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smeđe, smeđesive,</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svijetlosmeđe i bjeličaste boje,</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sa zaobljenim,</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 xml:space="preserve">poluzaobljenim i uglastim bioklastima. Međuprostori bioklasta i interklasta su ispunjeni kristalastim kalcitom. Brojni su u njemu fosilni </w:t>
      </w:r>
      <w:r w:rsidR="00050AF2" w:rsidRPr="002A0BEE">
        <w:rPr>
          <w:rFonts w:asciiTheme="majorHAnsi" w:eastAsia="Calibri" w:hAnsiTheme="majorHAnsi" w:cstheme="minorHAnsi"/>
          <w:szCs w:val="24"/>
          <w:lang w:val="sr-Latn-CS"/>
        </w:rPr>
        <w:t>ostaci rudista foraminifera, s</w:t>
      </w:r>
      <w:r w:rsidRPr="002A0BEE">
        <w:rPr>
          <w:rFonts w:asciiTheme="majorHAnsi" w:eastAsia="Calibri" w:hAnsiTheme="majorHAnsi" w:cstheme="minorHAnsi"/>
          <w:szCs w:val="24"/>
          <w:lang w:val="sr-Latn-CS"/>
        </w:rPr>
        <w:t>pongija i dr.</w:t>
      </w:r>
      <w:r w:rsidR="00050AF2" w:rsidRPr="002A0BEE">
        <w:rPr>
          <w:rFonts w:asciiTheme="majorHAnsi" w:eastAsia="Calibri" w:hAnsiTheme="majorHAnsi" w:cstheme="minorHAnsi"/>
          <w:szCs w:val="24"/>
          <w:lang w:val="sr-Latn-CS"/>
        </w:rPr>
        <w:t xml:space="preserve"> I</w:t>
      </w:r>
      <w:r w:rsidRPr="002A0BEE">
        <w:rPr>
          <w:rFonts w:asciiTheme="majorHAnsi" w:eastAsia="Calibri" w:hAnsiTheme="majorHAnsi" w:cstheme="minorHAnsi"/>
          <w:szCs w:val="24"/>
          <w:lang w:val="sr-Latn-CS"/>
        </w:rPr>
        <w:t>dentifikovani varijateti krečnjaka nastali su na račun fragmentalnog rudisno</w:t>
      </w:r>
      <w:r w:rsidR="0030688C" w:rsidRPr="002A0BEE">
        <w:rPr>
          <w:rFonts w:asciiTheme="majorHAnsi" w:eastAsia="Calibri" w:hAnsiTheme="majorHAnsi" w:cstheme="minorHAnsi"/>
          <w:szCs w:val="24"/>
          <w:lang w:val="sr-Latn-CS"/>
        </w:rPr>
        <w:t xml:space="preserve">g materijala. Često se mogu naći </w:t>
      </w:r>
      <w:r w:rsidRPr="002A0BEE">
        <w:rPr>
          <w:rFonts w:asciiTheme="majorHAnsi" w:eastAsia="Calibri" w:hAnsiTheme="majorHAnsi" w:cstheme="minorHAnsi"/>
          <w:szCs w:val="24"/>
          <w:lang w:val="sr-Latn-CS"/>
        </w:rPr>
        <w:t>sačuvani krupni rudisti (do 15 cm)</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,na</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osnovu kojih je i određena mastrihtska starost ovoga paketa.</w:t>
      </w:r>
    </w:p>
    <w:p w:rsidR="00957AD0" w:rsidRPr="002A0BEE" w:rsidRDefault="00957AD0" w:rsidP="006F3C68">
      <w:pPr>
        <w:ind w:left="426"/>
        <w:jc w:val="both"/>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Iz ovoga paketa prema poslednjem Elaboratu o reze</w:t>
      </w:r>
      <w:r w:rsidR="00050AF2" w:rsidRPr="002A0BEE">
        <w:rPr>
          <w:rFonts w:asciiTheme="majorHAnsi" w:eastAsia="Calibri" w:hAnsiTheme="majorHAnsi" w:cstheme="minorHAnsi"/>
          <w:szCs w:val="24"/>
          <w:lang w:val="sr-Latn-CS"/>
        </w:rPr>
        <w:t>rvama (2013) moguć</w:t>
      </w:r>
      <w:r w:rsidRPr="002A0BEE">
        <w:rPr>
          <w:rFonts w:asciiTheme="majorHAnsi" w:eastAsia="Calibri" w:hAnsiTheme="majorHAnsi" w:cstheme="minorHAnsi"/>
          <w:szCs w:val="24"/>
          <w:lang w:val="sr-Latn-CS"/>
        </w:rPr>
        <w:t>e je otkopati oko</w:t>
      </w:r>
      <w:r w:rsidR="00050AF2" w:rsidRPr="002A0BEE">
        <w:rPr>
          <w:rFonts w:asciiTheme="majorHAnsi" w:eastAsia="Calibri" w:hAnsiTheme="majorHAnsi" w:cstheme="minorHAnsi"/>
          <w:szCs w:val="24"/>
          <w:lang w:val="sr-Latn-CS"/>
        </w:rPr>
        <w:t xml:space="preserve"> 22% stijenske mase u vidu blok-</w:t>
      </w:r>
      <w:r w:rsidRPr="002A0BEE">
        <w:rPr>
          <w:rFonts w:asciiTheme="majorHAnsi" w:eastAsia="Calibri" w:hAnsiTheme="majorHAnsi" w:cstheme="minorHAnsi"/>
          <w:szCs w:val="24"/>
          <w:lang w:val="sr-Latn-CS"/>
        </w:rPr>
        <w:t>mase</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arhitektonsko–građevinskog kamena (AGK), a preostali dio stijenske mas</w:t>
      </w:r>
      <w:r w:rsidR="00050AF2" w:rsidRPr="002A0BEE">
        <w:rPr>
          <w:rFonts w:asciiTheme="majorHAnsi" w:eastAsia="Calibri" w:hAnsiTheme="majorHAnsi" w:cstheme="minorHAnsi"/>
          <w:szCs w:val="24"/>
          <w:lang w:val="sr-Latn-CS"/>
        </w:rPr>
        <w:t>e</w:t>
      </w:r>
      <w:r w:rsidRPr="002A0BEE">
        <w:rPr>
          <w:rFonts w:asciiTheme="majorHAnsi" w:eastAsia="Calibri" w:hAnsiTheme="majorHAnsi" w:cstheme="minorHAnsi"/>
          <w:szCs w:val="24"/>
          <w:lang w:val="sr-Latn-CS"/>
        </w:rPr>
        <w:t xml:space="preserve"> </w:t>
      </w:r>
      <w:r w:rsidR="00050AF2" w:rsidRPr="002A0BEE">
        <w:rPr>
          <w:rFonts w:asciiTheme="majorHAnsi" w:eastAsia="Calibri" w:hAnsiTheme="majorHAnsi" w:cstheme="minorHAnsi"/>
          <w:szCs w:val="24"/>
          <w:lang w:val="sr-Latn-CS"/>
        </w:rPr>
        <w:t xml:space="preserve">od </w:t>
      </w:r>
      <w:r w:rsidRPr="002A0BEE">
        <w:rPr>
          <w:rFonts w:asciiTheme="majorHAnsi" w:eastAsia="Calibri" w:hAnsiTheme="majorHAnsi" w:cstheme="minorHAnsi"/>
          <w:szCs w:val="24"/>
          <w:lang w:val="sr-Latn-CS"/>
        </w:rPr>
        <w:t xml:space="preserve">78% svrstan je </w:t>
      </w:r>
      <w:r w:rsidR="00050AF2" w:rsidRPr="002A0BEE">
        <w:rPr>
          <w:rFonts w:asciiTheme="majorHAnsi" w:eastAsia="Calibri" w:hAnsiTheme="majorHAnsi" w:cstheme="minorHAnsi"/>
          <w:szCs w:val="24"/>
          <w:lang w:val="sr-Latn-CS"/>
        </w:rPr>
        <w:t xml:space="preserve">u </w:t>
      </w:r>
      <w:r w:rsidRPr="002A0BEE">
        <w:rPr>
          <w:rFonts w:asciiTheme="majorHAnsi" w:eastAsia="Calibri" w:hAnsiTheme="majorHAnsi" w:cstheme="minorHAnsi"/>
          <w:szCs w:val="24"/>
          <w:lang w:val="sr-Latn-CS"/>
        </w:rPr>
        <w:t>sirovinu- tehnički građevinski kamen (TGK).</w:t>
      </w:r>
    </w:p>
    <w:p w:rsidR="00957AD0" w:rsidRPr="002A0BEE" w:rsidRDefault="00957AD0" w:rsidP="0055031D">
      <w:pPr>
        <w:pStyle w:val="ListParagraph"/>
        <w:numPr>
          <w:ilvl w:val="0"/>
          <w:numId w:val="34"/>
        </w:numPr>
        <w:ind w:left="418" w:hanging="216"/>
        <w:contextualSpacing w:val="0"/>
        <w:jc w:val="both"/>
        <w:rPr>
          <w:rFonts w:asciiTheme="majorHAnsi" w:eastAsia="Calibri" w:hAnsiTheme="majorHAnsi" w:cstheme="minorHAnsi"/>
          <w:szCs w:val="24"/>
          <w:lang w:val="sr-Latn-CS"/>
        </w:rPr>
      </w:pPr>
      <w:r w:rsidRPr="002A0BEE">
        <w:rPr>
          <w:rFonts w:asciiTheme="majorHAnsi" w:eastAsia="Calibri" w:hAnsiTheme="majorHAnsi" w:cstheme="minorHAnsi"/>
          <w:i/>
          <w:szCs w:val="24"/>
          <w:u w:val="single"/>
          <w:lang w:val="sr-Latn-CS"/>
        </w:rPr>
        <w:t>Drugi super pozicioni paket (</w:t>
      </w:r>
      <w:r w:rsidRPr="002A0BEE">
        <w:rPr>
          <w:rFonts w:asciiTheme="majorHAnsi" w:eastAsia="Calibri" w:hAnsiTheme="majorHAnsi" w:cstheme="minorHAnsi"/>
          <w:i/>
          <w:szCs w:val="24"/>
          <w:u w:val="single"/>
          <w:vertAlign w:val="superscript"/>
          <w:lang w:val="sr-Latn-CS"/>
        </w:rPr>
        <w:t>2</w:t>
      </w:r>
      <w:r w:rsidRPr="002A0BEE">
        <w:rPr>
          <w:rFonts w:asciiTheme="majorHAnsi" w:eastAsia="Calibri" w:hAnsiTheme="majorHAnsi" w:cstheme="minorHAnsi"/>
          <w:i/>
          <w:szCs w:val="24"/>
          <w:u w:val="single"/>
          <w:lang w:val="sr-Latn-CS"/>
        </w:rPr>
        <w:t>K</w:t>
      </w:r>
      <w:r w:rsidRPr="002A0BEE">
        <w:rPr>
          <w:rFonts w:asciiTheme="majorHAnsi" w:eastAsia="Calibri" w:hAnsiTheme="majorHAnsi" w:cstheme="minorHAnsi"/>
          <w:i/>
          <w:szCs w:val="24"/>
          <w:u w:val="single"/>
          <w:vertAlign w:val="subscript"/>
          <w:lang w:val="sr-Latn-CS"/>
        </w:rPr>
        <w:t>2</w:t>
      </w:r>
      <w:r w:rsidRPr="002A0BEE">
        <w:rPr>
          <w:rFonts w:asciiTheme="majorHAnsi" w:eastAsia="Calibri" w:hAnsiTheme="majorHAnsi" w:cstheme="minorHAnsi"/>
          <w:i/>
          <w:szCs w:val="24"/>
          <w:u w:val="single"/>
          <w:vertAlign w:val="superscript"/>
          <w:lang w:val="sr-Latn-CS"/>
        </w:rPr>
        <w:t>5,6</w:t>
      </w:r>
      <w:r w:rsidRPr="002A0BEE">
        <w:rPr>
          <w:rFonts w:asciiTheme="majorHAnsi" w:eastAsia="Calibri" w:hAnsiTheme="majorHAnsi" w:cstheme="minorHAnsi"/>
          <w:i/>
          <w:szCs w:val="24"/>
          <w:u w:val="single"/>
          <w:lang w:val="sr-Latn-CS"/>
        </w:rPr>
        <w:t>)</w:t>
      </w:r>
      <w:r w:rsidRPr="002A0BEE">
        <w:rPr>
          <w:rFonts w:asciiTheme="majorHAnsi" w:eastAsia="Calibri" w:hAnsiTheme="majorHAnsi" w:cstheme="minorHAnsi"/>
          <w:szCs w:val="24"/>
          <w:u w:val="single"/>
          <w:lang w:val="sr-Latn-CS"/>
        </w:rPr>
        <w:t>,</w:t>
      </w:r>
      <w:r w:rsidR="000F4F69" w:rsidRPr="002A0BEE">
        <w:rPr>
          <w:rFonts w:asciiTheme="majorHAnsi" w:eastAsia="Calibri" w:hAnsiTheme="majorHAnsi" w:cstheme="minorHAnsi"/>
          <w:szCs w:val="24"/>
          <w:u w:val="single"/>
          <w:lang w:val="sr-Latn-CS"/>
        </w:rPr>
        <w:t xml:space="preserve"> </w:t>
      </w:r>
      <w:r w:rsidRPr="002A0BEE">
        <w:rPr>
          <w:rFonts w:asciiTheme="majorHAnsi" w:eastAsia="Calibri" w:hAnsiTheme="majorHAnsi" w:cstheme="minorHAnsi"/>
          <w:szCs w:val="24"/>
          <w:lang w:val="sr-Latn-CS"/>
        </w:rPr>
        <w:t>koji se javlja čitavom dužinom sa južne strane brda Visočic</w:t>
      </w:r>
      <w:r w:rsidR="00050AF2" w:rsidRPr="002A0BEE">
        <w:rPr>
          <w:rFonts w:asciiTheme="majorHAnsi" w:eastAsia="Calibri" w:hAnsiTheme="majorHAnsi" w:cstheme="minorHAnsi"/>
          <w:szCs w:val="24"/>
          <w:lang w:val="sr-Latn-CS"/>
        </w:rPr>
        <w:t>a. I</w:t>
      </w:r>
      <w:r w:rsidRPr="002A0BEE">
        <w:rPr>
          <w:rFonts w:asciiTheme="majorHAnsi" w:eastAsia="Calibri" w:hAnsiTheme="majorHAnsi" w:cstheme="minorHAnsi"/>
          <w:szCs w:val="24"/>
          <w:lang w:val="sr-Latn-CS"/>
        </w:rPr>
        <w:t>zgrađuju ga slojeviti i bankoviti svi</w:t>
      </w:r>
      <w:r w:rsidR="00050AF2" w:rsidRPr="002A0BEE">
        <w:rPr>
          <w:rFonts w:asciiTheme="majorHAnsi" w:eastAsia="Calibri" w:hAnsiTheme="majorHAnsi" w:cstheme="minorHAnsi"/>
          <w:szCs w:val="24"/>
          <w:lang w:val="sr-Latn-CS"/>
        </w:rPr>
        <w:t>jetlosivi krečnjaci, koji u sebi</w:t>
      </w:r>
      <w:r w:rsidRPr="002A0BEE">
        <w:rPr>
          <w:rFonts w:asciiTheme="majorHAnsi" w:eastAsia="Calibri" w:hAnsiTheme="majorHAnsi" w:cstheme="minorHAnsi"/>
          <w:szCs w:val="24"/>
          <w:lang w:val="sr-Latn-CS"/>
        </w:rPr>
        <w:t xml:space="preserve"> sadže sitne interklaste. Prema sedimentološkim karakteristikama krečnjaci pripadaju rekristalisanim kalkarenitima.</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Granica prema p</w:t>
      </w:r>
      <w:r w:rsidR="00050AF2" w:rsidRPr="002A0BEE">
        <w:rPr>
          <w:rFonts w:asciiTheme="majorHAnsi" w:eastAsia="Calibri" w:hAnsiTheme="majorHAnsi" w:cstheme="minorHAnsi"/>
          <w:szCs w:val="24"/>
          <w:lang w:val="sr-Latn-CS"/>
        </w:rPr>
        <w:t xml:space="preserve">odinskom paketu je postepena, </w:t>
      </w:r>
      <w:r w:rsidRPr="002A0BEE">
        <w:rPr>
          <w:rFonts w:asciiTheme="majorHAnsi" w:eastAsia="Calibri" w:hAnsiTheme="majorHAnsi" w:cstheme="minorHAnsi"/>
          <w:szCs w:val="24"/>
          <w:lang w:val="sr-Latn-CS"/>
        </w:rPr>
        <w:t>ali na terenu lako uočljiva. Fosilni ostaci nešto su r</w:t>
      </w:r>
      <w:r w:rsidR="00050AF2" w:rsidRPr="002A0BEE">
        <w:rPr>
          <w:rFonts w:asciiTheme="majorHAnsi" w:eastAsia="Calibri" w:hAnsiTheme="majorHAnsi" w:cstheme="minorHAnsi"/>
          <w:szCs w:val="24"/>
          <w:lang w:val="sr-Latn-CS"/>
        </w:rPr>
        <w:t>j</w:t>
      </w:r>
      <w:r w:rsidRPr="002A0BEE">
        <w:rPr>
          <w:rFonts w:asciiTheme="majorHAnsi" w:eastAsia="Calibri" w:hAnsiTheme="majorHAnsi" w:cstheme="minorHAnsi"/>
          <w:szCs w:val="24"/>
          <w:lang w:val="sr-Latn-CS"/>
        </w:rPr>
        <w:t>eđi nego u predhodnom paketu. Međutim, rijetko se sreću presj</w:t>
      </w:r>
      <w:r w:rsidR="00050AF2" w:rsidRPr="002A0BEE">
        <w:rPr>
          <w:rFonts w:asciiTheme="majorHAnsi" w:eastAsia="Calibri" w:hAnsiTheme="majorHAnsi" w:cstheme="minorHAnsi"/>
          <w:szCs w:val="24"/>
          <w:lang w:val="sr-Latn-CS"/>
        </w:rPr>
        <w:t>e</w:t>
      </w:r>
      <w:r w:rsidRPr="002A0BEE">
        <w:rPr>
          <w:rFonts w:asciiTheme="majorHAnsi" w:eastAsia="Calibri" w:hAnsiTheme="majorHAnsi" w:cstheme="minorHAnsi"/>
          <w:szCs w:val="24"/>
          <w:lang w:val="sr-Latn-CS"/>
        </w:rPr>
        <w:t>ci krupnih rudista.</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Debljina ovog paketa iznosi oko 40</w:t>
      </w:r>
      <w:r w:rsidR="00050AF2"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 xml:space="preserve">m. Krečnjaci ovog paketa predstavljaju kvalitetnu sirovinu tehničko-građevinskog kamena </w:t>
      </w:r>
      <w:r w:rsidRPr="002A0BEE">
        <w:rPr>
          <w:rFonts w:asciiTheme="majorHAnsi" w:eastAsia="Calibri" w:hAnsiTheme="majorHAnsi" w:cstheme="minorHAnsi"/>
          <w:szCs w:val="24"/>
          <w:lang w:val="sr-Latn-CS"/>
        </w:rPr>
        <w:lastRenderedPageBreak/>
        <w:t>(TGK). Iz ovoga</w:t>
      </w:r>
      <w:r w:rsidR="00050AF2" w:rsidRPr="002A0BEE">
        <w:rPr>
          <w:rFonts w:asciiTheme="majorHAnsi" w:eastAsia="Calibri" w:hAnsiTheme="majorHAnsi" w:cstheme="minorHAnsi"/>
          <w:szCs w:val="24"/>
          <w:lang w:val="sr-Latn-CS"/>
        </w:rPr>
        <w:t xml:space="preserve"> paketa nije moguće vaditi blok-</w:t>
      </w:r>
      <w:r w:rsidRPr="002A0BEE">
        <w:rPr>
          <w:rFonts w:asciiTheme="majorHAnsi" w:eastAsia="Calibri" w:hAnsiTheme="majorHAnsi" w:cstheme="minorHAnsi"/>
          <w:szCs w:val="24"/>
          <w:lang w:val="sr-Latn-CS"/>
        </w:rPr>
        <w:t>masu</w:t>
      </w:r>
      <w:r w:rsidR="00050AF2" w:rsidRPr="002A0BEE">
        <w:rPr>
          <w:rFonts w:asciiTheme="majorHAnsi" w:eastAsia="Calibri" w:hAnsiTheme="majorHAnsi" w:cstheme="minorHAnsi"/>
          <w:szCs w:val="24"/>
          <w:lang w:val="sr-Latn-CS"/>
        </w:rPr>
        <w:t>,</w:t>
      </w:r>
      <w:r w:rsidRPr="002A0BEE">
        <w:rPr>
          <w:rFonts w:asciiTheme="majorHAnsi" w:eastAsia="Calibri" w:hAnsiTheme="majorHAnsi" w:cstheme="minorHAnsi"/>
          <w:szCs w:val="24"/>
          <w:lang w:val="sr-Latn-CS"/>
        </w:rPr>
        <w:t xml:space="preserve"> jer u njemu, prema v</w:t>
      </w:r>
      <w:r w:rsidR="00050AF2" w:rsidRPr="002A0BEE">
        <w:rPr>
          <w:rFonts w:asciiTheme="majorHAnsi" w:eastAsia="Calibri" w:hAnsiTheme="majorHAnsi" w:cstheme="minorHAnsi"/>
          <w:szCs w:val="24"/>
          <w:lang w:val="sr-Latn-CS"/>
        </w:rPr>
        <w:t xml:space="preserve">ažećem Elaboratu o rezervama, </w:t>
      </w:r>
      <w:r w:rsidRPr="002A0BEE">
        <w:rPr>
          <w:rFonts w:asciiTheme="majorHAnsi" w:eastAsia="Calibri" w:hAnsiTheme="majorHAnsi" w:cstheme="minorHAnsi"/>
          <w:szCs w:val="24"/>
          <w:lang w:val="sr-Latn-CS"/>
        </w:rPr>
        <w:t>nema monolitne mase krečnjaka.</w:t>
      </w:r>
    </w:p>
    <w:p w:rsidR="00957AD0" w:rsidRPr="002A0BEE" w:rsidRDefault="00957AD0" w:rsidP="006F3C68">
      <w:pPr>
        <w:jc w:val="both"/>
        <w:rPr>
          <w:rFonts w:asciiTheme="majorHAnsi" w:eastAsia="Calibri" w:hAnsiTheme="majorHAnsi" w:cstheme="minorHAnsi"/>
          <w:szCs w:val="24"/>
          <w:lang w:val="sr-Latn-CS"/>
        </w:rPr>
      </w:pPr>
      <w:r w:rsidRPr="002A0BEE">
        <w:rPr>
          <w:rFonts w:asciiTheme="majorHAnsi" w:eastAsia="Calibri" w:hAnsiTheme="majorHAnsi" w:cstheme="minorHAnsi"/>
          <w:b/>
          <w:szCs w:val="24"/>
          <w:u w:val="single"/>
          <w:lang w:val="sr-Latn-CS"/>
        </w:rPr>
        <w:t>Brečasto konglomeratične stijene (Pc)</w:t>
      </w:r>
      <w:r w:rsidRPr="002A0BEE">
        <w:rPr>
          <w:rFonts w:asciiTheme="majorHAnsi" w:eastAsia="Calibri" w:hAnsiTheme="majorHAnsi" w:cstheme="minorHAnsi"/>
          <w:szCs w:val="24"/>
          <w:lang w:val="sr-Latn-CS"/>
        </w:rPr>
        <w:t xml:space="preserve"> leže preko opisanih krečnjaka-kalkarenita i predstavljaju bazu flišnim sedimenatima. Otkriveni su cijlom dužinom Visočice, kako sa južne, tako i sa z</w:t>
      </w:r>
      <w:r w:rsidR="00050AF2" w:rsidRPr="002A0BEE">
        <w:rPr>
          <w:rFonts w:asciiTheme="majorHAnsi" w:eastAsia="Calibri" w:hAnsiTheme="majorHAnsi" w:cstheme="minorHAnsi"/>
          <w:szCs w:val="24"/>
          <w:lang w:val="sr-Latn-CS"/>
        </w:rPr>
        <w:t>a</w:t>
      </w:r>
      <w:r w:rsidRPr="002A0BEE">
        <w:rPr>
          <w:rFonts w:asciiTheme="majorHAnsi" w:eastAsia="Calibri" w:hAnsiTheme="majorHAnsi" w:cstheme="minorHAnsi"/>
          <w:szCs w:val="24"/>
          <w:lang w:val="sr-Latn-CS"/>
        </w:rPr>
        <w:t xml:space="preserve">padne i sjeverozapadne strane. </w:t>
      </w:r>
    </w:p>
    <w:p w:rsidR="00957AD0" w:rsidRPr="002A0BEE" w:rsidRDefault="00050AF2" w:rsidP="006F3C68">
      <w:pPr>
        <w:jc w:val="both"/>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Na osnovu mikroskopskog,</w:t>
      </w:r>
      <w:r w:rsidR="00957AD0" w:rsidRPr="002A0BEE">
        <w:rPr>
          <w:rFonts w:asciiTheme="majorHAnsi" w:eastAsia="Calibri" w:hAnsiTheme="majorHAnsi" w:cstheme="minorHAnsi"/>
          <w:szCs w:val="24"/>
          <w:lang w:val="sr-Latn-CS"/>
        </w:rPr>
        <w:t xml:space="preserve"> a i makroskopskog posmatranja</w:t>
      </w:r>
      <w:r w:rsidRPr="002A0BEE">
        <w:rPr>
          <w:rFonts w:asciiTheme="majorHAnsi" w:eastAsia="Calibri" w:hAnsiTheme="majorHAnsi" w:cstheme="minorHAnsi"/>
          <w:szCs w:val="24"/>
          <w:lang w:val="sr-Latn-CS"/>
        </w:rPr>
        <w:t>,</w:t>
      </w:r>
      <w:r w:rsidR="00957AD0" w:rsidRPr="002A0BEE">
        <w:rPr>
          <w:rFonts w:asciiTheme="majorHAnsi" w:eastAsia="Calibri" w:hAnsiTheme="majorHAnsi" w:cstheme="minorHAnsi"/>
          <w:szCs w:val="24"/>
          <w:lang w:val="sr-Latn-CS"/>
        </w:rPr>
        <w:t xml:space="preserve"> može se zaklj</w:t>
      </w:r>
      <w:r w:rsidRPr="002A0BEE">
        <w:rPr>
          <w:rFonts w:asciiTheme="majorHAnsi" w:eastAsia="Calibri" w:hAnsiTheme="majorHAnsi" w:cstheme="minorHAnsi"/>
          <w:szCs w:val="24"/>
          <w:lang w:val="sr-Latn-CS"/>
        </w:rPr>
        <w:t>učiti da su to raznovrsne kreč</w:t>
      </w:r>
      <w:r w:rsidR="00957AD0" w:rsidRPr="002A0BEE">
        <w:rPr>
          <w:rFonts w:asciiTheme="majorHAnsi" w:eastAsia="Calibri" w:hAnsiTheme="majorHAnsi" w:cstheme="minorHAnsi"/>
          <w:szCs w:val="24"/>
          <w:lang w:val="sr-Latn-CS"/>
        </w:rPr>
        <w:t>njačke breče i</w:t>
      </w:r>
      <w:r w:rsidRPr="002A0BEE">
        <w:rPr>
          <w:rFonts w:asciiTheme="majorHAnsi" w:eastAsia="Calibri" w:hAnsiTheme="majorHAnsi" w:cstheme="minorHAnsi"/>
          <w:szCs w:val="24"/>
          <w:lang w:val="sr-Latn-CS"/>
        </w:rPr>
        <w:t>zgrađene od komada crnih, bijelih</w:t>
      </w:r>
      <w:r w:rsidR="00957AD0" w:rsidRPr="002A0BEE">
        <w:rPr>
          <w:rFonts w:asciiTheme="majorHAnsi" w:eastAsia="Calibri" w:hAnsiTheme="majorHAnsi" w:cstheme="minorHAnsi"/>
          <w:szCs w:val="24"/>
          <w:lang w:val="sr-Latn-CS"/>
        </w:rPr>
        <w:t xml:space="preserve"> i žućkasih krečnjaka, dolomita i rožnaca povezanih glinovitim cementom. </w:t>
      </w:r>
    </w:p>
    <w:p w:rsidR="00957AD0" w:rsidRPr="002A0BEE" w:rsidRDefault="00957AD0" w:rsidP="006F3C68">
      <w:pPr>
        <w:jc w:val="both"/>
        <w:rPr>
          <w:rFonts w:asciiTheme="majorHAnsi" w:eastAsia="Calibri" w:hAnsiTheme="majorHAnsi" w:cstheme="minorHAnsi"/>
          <w:szCs w:val="24"/>
          <w:lang w:val="sr-Latn-CS"/>
        </w:rPr>
      </w:pPr>
      <w:r w:rsidRPr="002A0BEE">
        <w:rPr>
          <w:rFonts w:asciiTheme="majorHAnsi" w:eastAsia="Calibri" w:hAnsiTheme="majorHAnsi" w:cstheme="minorHAnsi"/>
          <w:b/>
          <w:szCs w:val="24"/>
          <w:u w:val="single"/>
          <w:lang w:val="sr-Latn-CS"/>
        </w:rPr>
        <w:t>Fliš (Pc+E)</w:t>
      </w:r>
      <w:r w:rsidR="00050AF2" w:rsidRPr="002A0BEE">
        <w:rPr>
          <w:rFonts w:asciiTheme="majorHAnsi" w:eastAsia="Calibri" w:hAnsiTheme="majorHAnsi" w:cstheme="minorHAnsi"/>
          <w:b/>
          <w:szCs w:val="24"/>
          <w:u w:val="single"/>
          <w:lang w:val="sr-Latn-CS"/>
        </w:rPr>
        <w:t xml:space="preserve"> </w:t>
      </w:r>
      <w:r w:rsidRPr="002A0BEE">
        <w:rPr>
          <w:rFonts w:asciiTheme="majorHAnsi" w:eastAsia="Calibri" w:hAnsiTheme="majorHAnsi" w:cstheme="minorHAnsi"/>
          <w:szCs w:val="24"/>
          <w:lang w:val="sr-Latn-CS"/>
        </w:rPr>
        <w:t>Preko breča i konglomerata, sa postepenim litološkim prelazom, leže sedimenti fliša. Na užem prostoru Visočice vrlo je malo otkrive</w:t>
      </w:r>
      <w:r w:rsidR="00050AF2" w:rsidRPr="002A0BEE">
        <w:rPr>
          <w:rFonts w:asciiTheme="majorHAnsi" w:eastAsia="Calibri" w:hAnsiTheme="majorHAnsi" w:cstheme="minorHAnsi"/>
          <w:szCs w:val="24"/>
          <w:lang w:val="sr-Latn-CS"/>
        </w:rPr>
        <w:t>nih izdanaka. Pret</w:t>
      </w:r>
      <w:r w:rsidRPr="002A0BEE">
        <w:rPr>
          <w:rFonts w:asciiTheme="majorHAnsi" w:eastAsia="Calibri" w:hAnsiTheme="majorHAnsi" w:cstheme="minorHAnsi"/>
          <w:szCs w:val="24"/>
          <w:lang w:val="sr-Latn-CS"/>
        </w:rPr>
        <w:t>postavlja se da su i ovd</w:t>
      </w:r>
      <w:r w:rsidR="00050AF2" w:rsidRPr="002A0BEE">
        <w:rPr>
          <w:rFonts w:asciiTheme="majorHAnsi" w:eastAsia="Calibri" w:hAnsiTheme="majorHAnsi" w:cstheme="minorHAnsi"/>
          <w:szCs w:val="24"/>
          <w:lang w:val="sr-Latn-CS"/>
        </w:rPr>
        <w:t>j</w:t>
      </w:r>
      <w:r w:rsidRPr="002A0BEE">
        <w:rPr>
          <w:rFonts w:asciiTheme="majorHAnsi" w:eastAsia="Calibri" w:hAnsiTheme="majorHAnsi" w:cstheme="minorHAnsi"/>
          <w:szCs w:val="24"/>
          <w:lang w:val="sr-Latn-CS"/>
        </w:rPr>
        <w:t>e najzastupljeni glinci i laporci, a nešto r</w:t>
      </w:r>
      <w:r w:rsidR="00050AF2" w:rsidRPr="002A0BEE">
        <w:rPr>
          <w:rFonts w:asciiTheme="majorHAnsi" w:eastAsia="Calibri" w:hAnsiTheme="majorHAnsi" w:cstheme="minorHAnsi"/>
          <w:szCs w:val="24"/>
          <w:lang w:val="sr-Latn-CS"/>
        </w:rPr>
        <w:t>j</w:t>
      </w:r>
      <w:r w:rsidRPr="002A0BEE">
        <w:rPr>
          <w:rFonts w:asciiTheme="majorHAnsi" w:eastAsia="Calibri" w:hAnsiTheme="majorHAnsi" w:cstheme="minorHAnsi"/>
          <w:szCs w:val="24"/>
          <w:lang w:val="sr-Latn-CS"/>
        </w:rPr>
        <w:t>eđe pješčari.</w:t>
      </w:r>
    </w:p>
    <w:p w:rsidR="00957AD0" w:rsidRPr="002A0BEE" w:rsidRDefault="00957AD0" w:rsidP="006F3C68">
      <w:pPr>
        <w:jc w:val="both"/>
        <w:rPr>
          <w:rFonts w:asciiTheme="majorHAnsi" w:hAnsiTheme="majorHAnsi" w:cstheme="minorHAnsi"/>
          <w:b/>
          <w:szCs w:val="24"/>
          <w:lang w:val="sr-Latn-CS"/>
        </w:rPr>
      </w:pPr>
      <w:r w:rsidRPr="002A0BEE">
        <w:rPr>
          <w:rFonts w:asciiTheme="majorHAnsi" w:hAnsiTheme="majorHAnsi" w:cstheme="minorHAnsi"/>
          <w:b/>
          <w:szCs w:val="24"/>
          <w:u w:val="single"/>
          <w:lang w:val="sr-Latn-CS"/>
        </w:rPr>
        <w:t>Kvartarni sedimenti uopšte (Q</w:t>
      </w:r>
      <w:r w:rsidRPr="002A0BEE">
        <w:rPr>
          <w:rFonts w:asciiTheme="majorHAnsi" w:hAnsiTheme="majorHAnsi" w:cstheme="minorHAnsi"/>
          <w:b/>
          <w:szCs w:val="24"/>
          <w:u w:val="single"/>
          <w:vertAlign w:val="subscript"/>
          <w:lang w:val="sr-Latn-CS"/>
        </w:rPr>
        <w:t>1</w:t>
      </w:r>
      <w:r w:rsidRPr="002A0BEE">
        <w:rPr>
          <w:rFonts w:asciiTheme="majorHAnsi" w:hAnsiTheme="majorHAnsi" w:cstheme="minorHAnsi"/>
          <w:b/>
          <w:szCs w:val="24"/>
          <w:lang w:val="sr-Latn-CS"/>
        </w:rPr>
        <w:t>)</w:t>
      </w:r>
      <w:r w:rsidR="00050AF2" w:rsidRPr="002A0BEE">
        <w:rPr>
          <w:rFonts w:asciiTheme="majorHAnsi" w:hAnsiTheme="majorHAnsi" w:cstheme="minorHAnsi"/>
          <w:b/>
          <w:szCs w:val="24"/>
          <w:lang w:val="sr-Latn-CS"/>
        </w:rPr>
        <w:t xml:space="preserve"> </w:t>
      </w:r>
      <w:r w:rsidRPr="002A0BEE">
        <w:rPr>
          <w:rFonts w:asciiTheme="majorHAnsi" w:hAnsiTheme="majorHAnsi" w:cstheme="minorHAnsi"/>
          <w:szCs w:val="24"/>
          <w:lang w:val="sr-Latn-CS"/>
        </w:rPr>
        <w:t>Morfološki najniže djelove terena, uglavnom, ispod kote 53 m</w:t>
      </w:r>
      <w:r w:rsidR="00050AF2"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izgrađuju sedimenti koji pripadaju kvartarnim naslagama prostrane Bjelopavlićke ravnice. U neposrednoj okolini Visočice</w:t>
      </w:r>
      <w:r w:rsidRPr="002A0BEE">
        <w:rPr>
          <w:rFonts w:asciiTheme="majorHAnsi" w:hAnsiTheme="majorHAnsi" w:cstheme="minorHAnsi"/>
          <w:i/>
          <w:szCs w:val="24"/>
          <w:lang w:val="sr-Latn-CS"/>
        </w:rPr>
        <w:t>,</w:t>
      </w:r>
      <w:r w:rsidRPr="002A0BEE">
        <w:rPr>
          <w:rFonts w:asciiTheme="majorHAnsi" w:hAnsiTheme="majorHAnsi" w:cstheme="minorHAnsi"/>
          <w:szCs w:val="24"/>
          <w:lang w:val="sr-Latn-CS"/>
        </w:rPr>
        <w:t xml:space="preserve"> najmlađe kvartarne neraščlanjene tvorevine predstavljene su pretežno glinama i p</w:t>
      </w:r>
      <w:r w:rsidR="00050AF2" w:rsidRPr="002A0BEE">
        <w:rPr>
          <w:rFonts w:asciiTheme="majorHAnsi" w:hAnsiTheme="majorHAnsi" w:cstheme="minorHAnsi"/>
          <w:szCs w:val="24"/>
          <w:lang w:val="sr-Latn-CS"/>
        </w:rPr>
        <w:t>j</w:t>
      </w:r>
      <w:r w:rsidRPr="002A0BEE">
        <w:rPr>
          <w:rFonts w:asciiTheme="majorHAnsi" w:hAnsiTheme="majorHAnsi" w:cstheme="minorHAnsi"/>
          <w:szCs w:val="24"/>
          <w:lang w:val="sr-Latn-CS"/>
        </w:rPr>
        <w:t>eskovitim glinama, sa dobro razvijenim humusnim pokrivačem, koje pokrivaj</w:t>
      </w:r>
      <w:r w:rsidR="00050AF2" w:rsidRPr="002A0BEE">
        <w:rPr>
          <w:rFonts w:asciiTheme="majorHAnsi" w:hAnsiTheme="majorHAnsi" w:cstheme="minorHAnsi"/>
          <w:szCs w:val="24"/>
          <w:lang w:val="sr-Latn-CS"/>
        </w:rPr>
        <w:t xml:space="preserve">u </w:t>
      </w:r>
      <w:r w:rsidRPr="002A0BEE">
        <w:rPr>
          <w:rFonts w:asciiTheme="majorHAnsi" w:hAnsiTheme="majorHAnsi" w:cstheme="minorHAnsi"/>
          <w:szCs w:val="24"/>
          <w:lang w:val="sr-Latn-CS"/>
        </w:rPr>
        <w:t>flišne tvorevine.</w:t>
      </w:r>
    </w:p>
    <w:p w:rsidR="00957AD0" w:rsidRPr="002A0BEE" w:rsidRDefault="00957AD0" w:rsidP="006F3C68">
      <w:pPr>
        <w:jc w:val="both"/>
        <w:rPr>
          <w:rFonts w:asciiTheme="majorHAnsi" w:hAnsiTheme="majorHAnsi" w:cstheme="minorHAnsi"/>
          <w:szCs w:val="24"/>
          <w:lang w:val="sr-Latn-CS"/>
        </w:rPr>
      </w:pPr>
      <w:r w:rsidRPr="002A0BEE">
        <w:rPr>
          <w:rFonts w:asciiTheme="majorHAnsi" w:hAnsiTheme="majorHAnsi" w:cstheme="minorHAnsi"/>
          <w:b/>
          <w:szCs w:val="24"/>
          <w:u w:val="single"/>
          <w:lang w:val="sr-Latn-CS"/>
        </w:rPr>
        <w:t>Deluvijum</w:t>
      </w:r>
      <w:r w:rsidR="0041761A" w:rsidRPr="002A0BEE">
        <w:rPr>
          <w:rFonts w:asciiTheme="majorHAnsi" w:hAnsiTheme="majorHAnsi" w:cstheme="minorHAnsi"/>
          <w:b/>
          <w:szCs w:val="24"/>
          <w:u w:val="single"/>
          <w:lang w:val="sr-Latn-CS"/>
        </w:rPr>
        <w:t xml:space="preserve"> </w:t>
      </w:r>
      <w:r w:rsidRPr="002A0BEE">
        <w:rPr>
          <w:rFonts w:asciiTheme="majorHAnsi" w:hAnsiTheme="majorHAnsi" w:cstheme="minorHAnsi"/>
          <w:b/>
          <w:szCs w:val="24"/>
          <w:u w:val="single"/>
          <w:lang w:val="sr-Latn-CS"/>
        </w:rPr>
        <w:t>(d)</w:t>
      </w:r>
      <w:r w:rsidR="00050AF2" w:rsidRPr="002A0BEE">
        <w:rPr>
          <w:rFonts w:asciiTheme="majorHAnsi" w:hAnsiTheme="majorHAnsi" w:cstheme="minorHAnsi"/>
          <w:b/>
          <w:szCs w:val="24"/>
          <w:lang w:val="sr-Latn-CS"/>
        </w:rPr>
        <w:t xml:space="preserve"> </w:t>
      </w:r>
      <w:r w:rsidRPr="002A0BEE">
        <w:rPr>
          <w:rFonts w:asciiTheme="majorHAnsi" w:hAnsiTheme="majorHAnsi" w:cstheme="minorHAnsi"/>
          <w:szCs w:val="24"/>
          <w:lang w:val="sr-Latn-CS"/>
        </w:rPr>
        <w:t xml:space="preserve">Sedimenti deluvijuma javljaju se na padinama Visočice i opkoljavaju brdo pokrivajući mezozojske i paleogene sedimente. To su najčešće blokovi i komadi krečnjaka različite krupnoće, pomiješani sa humusnim materijalom. Debljina deluvijalnih naslaga se kreće od 0,5 do 5,0 m. </w:t>
      </w:r>
    </w:p>
    <w:p w:rsidR="00957AD0" w:rsidRPr="002A0BEE" w:rsidRDefault="00957AD0" w:rsidP="006F3C68">
      <w:pPr>
        <w:pStyle w:val="ListParagraph"/>
        <w:numPr>
          <w:ilvl w:val="2"/>
          <w:numId w:val="9"/>
        </w:numPr>
        <w:contextualSpacing w:val="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Rezerve mineralne sirovine </w:t>
      </w:r>
    </w:p>
    <w:p w:rsidR="00957AD0" w:rsidRDefault="00957AD0" w:rsidP="006F3C68">
      <w:pPr>
        <w:jc w:val="both"/>
        <w:rPr>
          <w:rFonts w:asciiTheme="majorHAnsi" w:hAnsiTheme="majorHAnsi" w:cstheme="minorHAnsi"/>
          <w:szCs w:val="24"/>
          <w:lang w:val="sr-Latn-CS"/>
        </w:rPr>
      </w:pPr>
      <w:r w:rsidRPr="002A0BEE">
        <w:rPr>
          <w:rFonts w:asciiTheme="majorHAnsi" w:hAnsiTheme="majorHAnsi" w:cstheme="minorHAnsi"/>
          <w:szCs w:val="24"/>
          <w:lang w:val="sr-Latn-CS"/>
        </w:rPr>
        <w:t>Rezerve mineralne sirovine</w:t>
      </w:r>
      <w:r w:rsidR="00050AF2"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tehničko-građevinskog i arhitektonsko-građevinskog kamena u ležištu</w:t>
      </w:r>
      <w:r w:rsidR="0041761A" w:rsidRPr="002A0BEE">
        <w:rPr>
          <w:rFonts w:asciiTheme="majorHAnsi" w:hAnsiTheme="majorHAnsi" w:cstheme="minorHAnsi"/>
          <w:szCs w:val="24"/>
          <w:lang w:val="sr-Latn-CS"/>
        </w:rPr>
        <w:t xml:space="preserve"> </w:t>
      </w:r>
      <w:r w:rsidRPr="002A0BEE">
        <w:rPr>
          <w:rFonts w:asciiTheme="majorHAnsi" w:hAnsiTheme="majorHAnsi" w:cstheme="minorHAnsi"/>
          <w:bCs/>
          <w:szCs w:val="24"/>
          <w:lang w:val="sr-Latn-CS"/>
        </w:rPr>
        <w:t>„Visočica“ kod Spuža, opština Danilovgrad, date su u “Elaboratu o klasifikaciji, kategorizaciji i proračunu rezervi</w:t>
      </w:r>
      <w:r w:rsidRPr="002A0BEE">
        <w:rPr>
          <w:rFonts w:asciiTheme="majorHAnsi" w:hAnsiTheme="majorHAnsi" w:cstheme="minorHAnsi"/>
          <w:szCs w:val="24"/>
          <w:lang w:val="sr-Latn-CS"/>
        </w:rPr>
        <w:t xml:space="preserve"> arhitektonsko-građevinskog i tehničko-građevinskog kamena ležišta </w:t>
      </w:r>
      <w:r w:rsidRPr="002A0BEE">
        <w:rPr>
          <w:rFonts w:asciiTheme="majorHAnsi" w:hAnsiTheme="majorHAnsi" w:cstheme="minorHAnsi"/>
          <w:bCs/>
          <w:szCs w:val="24"/>
          <w:lang w:val="sr-Latn-CS"/>
        </w:rPr>
        <w:t xml:space="preserve">„Visočica“ kod Spuža, </w:t>
      </w:r>
      <w:r w:rsidRPr="002A0BEE">
        <w:rPr>
          <w:rFonts w:asciiTheme="majorHAnsi" w:hAnsiTheme="majorHAnsi" w:cstheme="minorHAnsi"/>
          <w:szCs w:val="24"/>
          <w:lang w:val="sr-Latn-CS"/>
        </w:rPr>
        <w:t>stanje 31.12.2012. godine</w:t>
      </w:r>
      <w:r w:rsidR="00574678" w:rsidRPr="002A0BEE">
        <w:rPr>
          <w:rFonts w:asciiTheme="majorHAnsi" w:hAnsiTheme="majorHAnsi" w:cstheme="minorHAnsi"/>
          <w:szCs w:val="24"/>
          <w:lang w:val="sr-Latn-CS"/>
        </w:rPr>
        <w:t>“,</w:t>
      </w:r>
      <w:r w:rsidRPr="002A0BEE">
        <w:rPr>
          <w:rFonts w:asciiTheme="majorHAnsi" w:hAnsiTheme="majorHAnsi" w:cstheme="minorHAnsi"/>
          <w:b/>
          <w:szCs w:val="24"/>
          <w:lang w:val="sr-Latn-CS"/>
        </w:rPr>
        <w:t xml:space="preserve"> </w:t>
      </w:r>
      <w:r w:rsidR="00050AF2" w:rsidRPr="002A0BEE">
        <w:rPr>
          <w:rFonts w:asciiTheme="majorHAnsi" w:hAnsiTheme="majorHAnsi" w:cstheme="minorHAnsi"/>
          <w:szCs w:val="24"/>
          <w:lang w:val="sr-Latn-CS"/>
        </w:rPr>
        <w:t xml:space="preserve">kojeg je uradila JU Zavod za geološka istraživanja - </w:t>
      </w:r>
      <w:r w:rsidRPr="002A0BEE">
        <w:rPr>
          <w:rFonts w:asciiTheme="majorHAnsi" w:hAnsiTheme="majorHAnsi" w:cstheme="minorHAnsi"/>
          <w:szCs w:val="24"/>
          <w:lang w:val="sr-Latn-CS"/>
        </w:rPr>
        <w:t>Podgorica.</w:t>
      </w:r>
      <w:r w:rsidR="00050AF2"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Njegova izrada zasnovana je na prikupljenim podacima tokom dugogodišnjih istraživanja i eksploataciji, do 2000. godine, kao ležišta tehničko –građevinskog kamena za proizvodnju kreča</w:t>
      </w:r>
      <w:r w:rsidR="00050AF2"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i agregata za potrebe Aluminijsko</w:t>
      </w:r>
      <w:r w:rsidR="00F86E93" w:rsidRPr="002A0BEE">
        <w:rPr>
          <w:rFonts w:asciiTheme="majorHAnsi" w:hAnsiTheme="majorHAnsi" w:cstheme="minorHAnsi"/>
          <w:szCs w:val="24"/>
          <w:lang w:val="sr-Latn-CS"/>
        </w:rPr>
        <w:t>g kombinata</w:t>
      </w:r>
      <w:r w:rsidR="00AF2D20" w:rsidRPr="002A0BEE">
        <w:rPr>
          <w:rFonts w:asciiTheme="majorHAnsi" w:hAnsiTheme="majorHAnsi" w:cstheme="minorHAnsi"/>
          <w:szCs w:val="24"/>
          <w:lang w:val="sr-Latn-CS"/>
        </w:rPr>
        <w:t xml:space="preserve"> – </w:t>
      </w:r>
      <w:r w:rsidR="00F86E93" w:rsidRPr="002A0BEE">
        <w:rPr>
          <w:rFonts w:asciiTheme="majorHAnsi" w:hAnsiTheme="majorHAnsi" w:cstheme="minorHAnsi"/>
          <w:szCs w:val="24"/>
          <w:lang w:val="sr-Latn-CS"/>
        </w:rPr>
        <w:t>Titograd i tržišta</w:t>
      </w:r>
      <w:r w:rsidRPr="002A0BEE">
        <w:rPr>
          <w:rFonts w:asciiTheme="majorHAnsi" w:hAnsiTheme="majorHAnsi" w:cstheme="minorHAnsi"/>
          <w:szCs w:val="24"/>
          <w:lang w:val="sr-Latn-CS"/>
        </w:rPr>
        <w:t xml:space="preserve"> i nakon 2000. godine kao ležišta arhitektonsko-građevinskog kamena za proizvo</w:t>
      </w:r>
      <w:r w:rsidR="00F86E93" w:rsidRPr="002A0BEE">
        <w:rPr>
          <w:rFonts w:asciiTheme="majorHAnsi" w:hAnsiTheme="majorHAnsi" w:cstheme="minorHAnsi"/>
          <w:szCs w:val="24"/>
          <w:lang w:val="sr-Latn-CS"/>
        </w:rPr>
        <w:t>dnju blok-</w:t>
      </w:r>
      <w:r w:rsidRPr="002A0BEE">
        <w:rPr>
          <w:rFonts w:asciiTheme="majorHAnsi" w:hAnsiTheme="majorHAnsi" w:cstheme="minorHAnsi"/>
          <w:szCs w:val="24"/>
          <w:lang w:val="sr-Latn-CS"/>
        </w:rPr>
        <w:t>mase.</w:t>
      </w:r>
    </w:p>
    <w:p w:rsidR="002A0BEE" w:rsidRDefault="002A0BEE" w:rsidP="006F3C68">
      <w:pPr>
        <w:jc w:val="both"/>
        <w:rPr>
          <w:rFonts w:asciiTheme="majorHAnsi" w:hAnsiTheme="majorHAnsi" w:cstheme="minorHAnsi"/>
          <w:szCs w:val="24"/>
          <w:lang w:val="sr-Latn-CS"/>
        </w:rPr>
      </w:pPr>
    </w:p>
    <w:p w:rsidR="002A0BEE" w:rsidRDefault="002A0BEE" w:rsidP="006F3C68">
      <w:pPr>
        <w:jc w:val="both"/>
        <w:rPr>
          <w:rFonts w:asciiTheme="majorHAnsi" w:hAnsiTheme="majorHAnsi" w:cstheme="minorHAnsi"/>
          <w:szCs w:val="24"/>
          <w:lang w:val="sr-Latn-CS"/>
        </w:rPr>
      </w:pPr>
    </w:p>
    <w:p w:rsidR="002A0BEE" w:rsidRDefault="002A0BEE" w:rsidP="006F3C68">
      <w:pPr>
        <w:jc w:val="both"/>
        <w:rPr>
          <w:rFonts w:asciiTheme="majorHAnsi" w:hAnsiTheme="majorHAnsi" w:cstheme="minorHAnsi"/>
          <w:szCs w:val="24"/>
          <w:lang w:val="sr-Latn-CS"/>
        </w:rPr>
      </w:pPr>
    </w:p>
    <w:p w:rsidR="002A0BEE" w:rsidRPr="002A0BEE" w:rsidRDefault="002A0BEE" w:rsidP="006F3C68">
      <w:pPr>
        <w:jc w:val="both"/>
        <w:rPr>
          <w:rFonts w:asciiTheme="majorHAnsi" w:hAnsiTheme="majorHAnsi" w:cstheme="minorHAnsi"/>
          <w:szCs w:val="24"/>
          <w:lang w:val="sr-Latn-CS"/>
        </w:rPr>
      </w:pPr>
    </w:p>
    <w:p w:rsidR="00957AD0" w:rsidRPr="002A0BEE" w:rsidRDefault="00957AD0" w:rsidP="006F3C68">
      <w:pPr>
        <w:rPr>
          <w:rFonts w:asciiTheme="majorHAnsi" w:hAnsiTheme="majorHAnsi" w:cstheme="minorHAnsi"/>
          <w:b/>
          <w:i/>
          <w:szCs w:val="24"/>
          <w:lang w:val="sr-Latn-CS"/>
        </w:rPr>
      </w:pPr>
      <w:r w:rsidRPr="002A0BEE">
        <w:rPr>
          <w:rFonts w:asciiTheme="majorHAnsi" w:hAnsiTheme="majorHAnsi" w:cstheme="minorHAnsi"/>
          <w:b/>
          <w:i/>
          <w:szCs w:val="24"/>
          <w:lang w:val="sr-Latn-CS"/>
        </w:rPr>
        <w:t>Pregled geoloških, bilansnih rezervi AGK i TGK u ležištu „Visočica“ stanje 31.12.2012.godine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4"/>
        <w:gridCol w:w="1650"/>
        <w:gridCol w:w="1976"/>
        <w:gridCol w:w="1104"/>
        <w:gridCol w:w="1107"/>
        <w:gridCol w:w="1101"/>
        <w:gridCol w:w="1046"/>
      </w:tblGrid>
      <w:tr w:rsidR="00957AD0" w:rsidRPr="002A0BEE" w:rsidTr="00F86E93">
        <w:trPr>
          <w:trHeight w:val="597"/>
        </w:trPr>
        <w:tc>
          <w:tcPr>
            <w:tcW w:w="1816" w:type="dxa"/>
            <w:tcBorders>
              <w:top w:val="double" w:sz="4" w:space="0" w:color="auto"/>
              <w:left w:val="double" w:sz="4" w:space="0" w:color="auto"/>
              <w:bottom w:val="thinThickSmallGap" w:sz="12" w:space="0" w:color="auto"/>
              <w:right w:val="single" w:sz="4" w:space="0" w:color="auto"/>
            </w:tcBorders>
            <w:shd w:val="clear" w:color="auto" w:fill="FFC000"/>
          </w:tcPr>
          <w:p w:rsidR="00957AD0" w:rsidRPr="002A0BEE" w:rsidRDefault="00F86E93" w:rsidP="002E447F">
            <w:pPr>
              <w:rPr>
                <w:rFonts w:asciiTheme="majorHAnsi" w:hAnsiTheme="majorHAnsi" w:cstheme="minorHAnsi"/>
                <w:b/>
                <w:szCs w:val="24"/>
                <w:lang w:val="sr-Latn-CS" w:eastAsia="en-GB"/>
              </w:rPr>
            </w:pPr>
            <w:r w:rsidRPr="002A0BEE">
              <w:rPr>
                <w:rFonts w:asciiTheme="majorHAnsi" w:hAnsiTheme="majorHAnsi" w:cstheme="minorHAnsi"/>
                <w:b/>
                <w:szCs w:val="24"/>
                <w:lang w:val="sr-Latn-CS" w:eastAsia="en-GB"/>
              </w:rPr>
              <w:t>Paket  krečnjaka</w:t>
            </w:r>
          </w:p>
        </w:tc>
        <w:tc>
          <w:tcPr>
            <w:tcW w:w="1314" w:type="dxa"/>
            <w:tcBorders>
              <w:top w:val="double" w:sz="4" w:space="0" w:color="auto"/>
              <w:left w:val="single" w:sz="4" w:space="0" w:color="auto"/>
              <w:bottom w:val="thinThickSmallGap" w:sz="12" w:space="0" w:color="auto"/>
              <w:right w:val="single" w:sz="4" w:space="0" w:color="auto"/>
            </w:tcBorders>
            <w:shd w:val="clear" w:color="auto" w:fill="FFC000"/>
          </w:tcPr>
          <w:p w:rsidR="00957AD0" w:rsidRPr="002A0BEE" w:rsidRDefault="00957AD0" w:rsidP="002E447F">
            <w:pPr>
              <w:rPr>
                <w:rFonts w:asciiTheme="majorHAnsi" w:hAnsiTheme="majorHAnsi" w:cstheme="minorHAnsi"/>
                <w:b/>
                <w:szCs w:val="24"/>
                <w:lang w:val="sr-Latn-CS"/>
              </w:rPr>
            </w:pPr>
            <w:r w:rsidRPr="002A0BEE">
              <w:rPr>
                <w:rFonts w:asciiTheme="majorHAnsi" w:hAnsiTheme="majorHAnsi" w:cstheme="minorHAnsi"/>
                <w:b/>
                <w:szCs w:val="24"/>
                <w:lang w:val="sr-Latn-CS"/>
              </w:rPr>
              <w:t>Kateg</w:t>
            </w:r>
            <w:r w:rsidR="00F86E93" w:rsidRPr="002A0BEE">
              <w:rPr>
                <w:rFonts w:asciiTheme="majorHAnsi" w:hAnsiTheme="majorHAnsi" w:cstheme="minorHAnsi"/>
                <w:b/>
                <w:szCs w:val="24"/>
                <w:lang w:val="sr-Latn-CS"/>
              </w:rPr>
              <w:t>.rezerv.</w:t>
            </w:r>
          </w:p>
        </w:tc>
        <w:tc>
          <w:tcPr>
            <w:tcW w:w="1560" w:type="dxa"/>
            <w:tcBorders>
              <w:top w:val="double" w:sz="4" w:space="0" w:color="auto"/>
              <w:left w:val="single" w:sz="4" w:space="0" w:color="auto"/>
              <w:bottom w:val="thinThickSmallGap" w:sz="12" w:space="0" w:color="auto"/>
              <w:right w:val="single" w:sz="4" w:space="0" w:color="auto"/>
            </w:tcBorders>
            <w:shd w:val="clear" w:color="auto" w:fill="FFC000"/>
          </w:tcPr>
          <w:p w:rsidR="00957AD0" w:rsidRPr="002A0BEE" w:rsidRDefault="00F86E93" w:rsidP="002E447F">
            <w:pPr>
              <w:rPr>
                <w:rFonts w:asciiTheme="majorHAnsi" w:hAnsiTheme="majorHAnsi" w:cstheme="minorHAnsi"/>
                <w:b/>
                <w:szCs w:val="24"/>
                <w:lang w:val="sr-Latn-CS" w:eastAsia="en-GB"/>
              </w:rPr>
            </w:pPr>
            <w:r w:rsidRPr="002A0BEE">
              <w:rPr>
                <w:rFonts w:asciiTheme="majorHAnsi" w:hAnsiTheme="majorHAnsi" w:cstheme="minorHAnsi"/>
                <w:b/>
                <w:szCs w:val="24"/>
                <w:lang w:val="sr-Latn-CS" w:eastAsia="en-GB"/>
              </w:rPr>
              <w:t>Rez.st.mase</w:t>
            </w:r>
            <w:r w:rsidR="00957AD0" w:rsidRPr="002A0BEE">
              <w:rPr>
                <w:rFonts w:asciiTheme="majorHAnsi" w:hAnsiTheme="majorHAnsi" w:cstheme="minorHAnsi"/>
                <w:b/>
                <w:szCs w:val="24"/>
                <w:lang w:val="sr-Latn-CS" w:eastAsia="en-GB"/>
              </w:rPr>
              <w:t>(m</w:t>
            </w:r>
            <w:r w:rsidR="00957AD0" w:rsidRPr="002A0BEE">
              <w:rPr>
                <w:rFonts w:asciiTheme="majorHAnsi" w:hAnsiTheme="majorHAnsi" w:cstheme="minorHAnsi"/>
                <w:b/>
                <w:szCs w:val="24"/>
                <w:vertAlign w:val="superscript"/>
                <w:lang w:val="sr-Latn-CS" w:eastAsia="en-GB"/>
              </w:rPr>
              <w:t>3</w:t>
            </w:r>
            <w:r w:rsidR="00957AD0" w:rsidRPr="002A0BEE">
              <w:rPr>
                <w:rFonts w:asciiTheme="majorHAnsi" w:hAnsiTheme="majorHAnsi" w:cstheme="minorHAnsi"/>
                <w:b/>
                <w:szCs w:val="24"/>
                <w:lang w:val="sr-Latn-CS" w:eastAsia="en-GB"/>
              </w:rPr>
              <w:t xml:space="preserve">) </w:t>
            </w:r>
          </w:p>
        </w:tc>
        <w:tc>
          <w:tcPr>
            <w:tcW w:w="845" w:type="dxa"/>
            <w:tcBorders>
              <w:top w:val="double" w:sz="4" w:space="0" w:color="auto"/>
              <w:left w:val="single" w:sz="4" w:space="0" w:color="auto"/>
              <w:bottom w:val="thinThickSmallGap" w:sz="12" w:space="0" w:color="auto"/>
              <w:right w:val="single" w:sz="4" w:space="0" w:color="auto"/>
            </w:tcBorders>
            <w:shd w:val="clear" w:color="auto" w:fill="FFC000"/>
          </w:tcPr>
          <w:p w:rsidR="00957AD0" w:rsidRPr="002A0BEE" w:rsidRDefault="00957AD0" w:rsidP="002E447F">
            <w:pPr>
              <w:rPr>
                <w:rFonts w:asciiTheme="majorHAnsi" w:hAnsiTheme="majorHAnsi" w:cstheme="minorHAnsi"/>
                <w:b/>
                <w:szCs w:val="24"/>
                <w:lang w:val="sr-Latn-CS" w:eastAsia="en-GB"/>
              </w:rPr>
            </w:pPr>
            <w:r w:rsidRPr="002A0BEE">
              <w:rPr>
                <w:rFonts w:asciiTheme="majorHAnsi" w:hAnsiTheme="majorHAnsi" w:cstheme="minorHAnsi"/>
                <w:b/>
                <w:szCs w:val="24"/>
                <w:lang w:val="sr-Latn-CS" w:eastAsia="en-GB"/>
              </w:rPr>
              <w:t>Iskor</w:t>
            </w:r>
            <w:r w:rsidR="00F86E93" w:rsidRPr="002A0BEE">
              <w:rPr>
                <w:rFonts w:asciiTheme="majorHAnsi" w:hAnsiTheme="majorHAnsi" w:cstheme="minorHAnsi"/>
                <w:b/>
                <w:szCs w:val="24"/>
                <w:lang w:val="sr-Latn-CS" w:eastAsia="en-GB"/>
              </w:rPr>
              <w:t>.u AGK</w:t>
            </w:r>
            <w:r w:rsidRPr="002A0BEE">
              <w:rPr>
                <w:rFonts w:asciiTheme="majorHAnsi" w:hAnsiTheme="majorHAnsi" w:cstheme="minorHAnsi"/>
                <w:b/>
                <w:szCs w:val="24"/>
                <w:lang w:val="sr-Latn-CS" w:eastAsia="en-GB"/>
              </w:rPr>
              <w:t>(%)</w:t>
            </w:r>
          </w:p>
        </w:tc>
        <w:tc>
          <w:tcPr>
            <w:tcW w:w="1305" w:type="dxa"/>
            <w:tcBorders>
              <w:top w:val="double" w:sz="4" w:space="0" w:color="auto"/>
              <w:left w:val="single" w:sz="4" w:space="0" w:color="auto"/>
              <w:bottom w:val="thinThickSmallGap" w:sz="12" w:space="0" w:color="auto"/>
              <w:right w:val="single" w:sz="4" w:space="0" w:color="auto"/>
            </w:tcBorders>
            <w:shd w:val="clear" w:color="auto" w:fill="FFC000"/>
          </w:tcPr>
          <w:p w:rsidR="00957AD0" w:rsidRPr="002A0BEE" w:rsidRDefault="00F86E93" w:rsidP="002E447F">
            <w:pPr>
              <w:rPr>
                <w:rFonts w:asciiTheme="majorHAnsi" w:hAnsiTheme="majorHAnsi" w:cstheme="minorHAnsi"/>
                <w:b/>
                <w:szCs w:val="24"/>
                <w:lang w:val="sr-Latn-CS" w:eastAsia="en-GB"/>
              </w:rPr>
            </w:pPr>
            <w:r w:rsidRPr="002A0BEE">
              <w:rPr>
                <w:rFonts w:asciiTheme="majorHAnsi" w:hAnsiTheme="majorHAnsi" w:cstheme="minorHAnsi"/>
                <w:b/>
                <w:szCs w:val="24"/>
                <w:lang w:val="sr-Latn-CS" w:eastAsia="en-GB"/>
              </w:rPr>
              <w:t>Rez. AGK (blok</w:t>
            </w:r>
            <w:r w:rsidR="00957AD0" w:rsidRPr="002A0BEE">
              <w:rPr>
                <w:rFonts w:asciiTheme="majorHAnsi" w:hAnsiTheme="majorHAnsi" w:cstheme="minorHAnsi"/>
                <w:b/>
                <w:szCs w:val="24"/>
                <w:lang w:val="sr-Latn-CS" w:eastAsia="en-GB"/>
              </w:rPr>
              <w:t>)</w:t>
            </w:r>
            <w:r w:rsidRPr="002A0BEE">
              <w:rPr>
                <w:rFonts w:asciiTheme="majorHAnsi" w:hAnsiTheme="majorHAnsi" w:cstheme="minorHAnsi"/>
                <w:b/>
                <w:szCs w:val="24"/>
                <w:lang w:val="sr-Latn-CS" w:eastAsia="en-GB"/>
              </w:rPr>
              <w:t xml:space="preserve"> </w:t>
            </w:r>
            <w:r w:rsidR="00957AD0" w:rsidRPr="002A0BEE">
              <w:rPr>
                <w:rFonts w:asciiTheme="majorHAnsi" w:hAnsiTheme="majorHAnsi" w:cstheme="minorHAnsi"/>
                <w:b/>
                <w:szCs w:val="24"/>
                <w:lang w:val="sr-Latn-CS" w:eastAsia="en-GB"/>
              </w:rPr>
              <w:t>(m</w:t>
            </w:r>
            <w:r w:rsidR="00957AD0" w:rsidRPr="002A0BEE">
              <w:rPr>
                <w:rFonts w:asciiTheme="majorHAnsi" w:hAnsiTheme="majorHAnsi" w:cstheme="minorHAnsi"/>
                <w:b/>
                <w:szCs w:val="24"/>
                <w:vertAlign w:val="superscript"/>
                <w:lang w:val="sr-Latn-CS" w:eastAsia="en-GB"/>
              </w:rPr>
              <w:t>3</w:t>
            </w:r>
            <w:r w:rsidR="00957AD0" w:rsidRPr="002A0BEE">
              <w:rPr>
                <w:rFonts w:asciiTheme="majorHAnsi" w:hAnsiTheme="majorHAnsi" w:cstheme="minorHAnsi"/>
                <w:b/>
                <w:szCs w:val="24"/>
                <w:lang w:val="sr-Latn-CS" w:eastAsia="en-GB"/>
              </w:rPr>
              <w:t>)</w:t>
            </w:r>
          </w:p>
        </w:tc>
        <w:tc>
          <w:tcPr>
            <w:tcW w:w="851" w:type="dxa"/>
            <w:tcBorders>
              <w:top w:val="double" w:sz="4" w:space="0" w:color="auto"/>
              <w:left w:val="single" w:sz="4" w:space="0" w:color="auto"/>
              <w:bottom w:val="thinThickSmallGap" w:sz="12" w:space="0" w:color="auto"/>
              <w:right w:val="single" w:sz="4" w:space="0" w:color="auto"/>
            </w:tcBorders>
            <w:shd w:val="clear" w:color="auto" w:fill="FFC000"/>
          </w:tcPr>
          <w:p w:rsidR="00957AD0" w:rsidRPr="002A0BEE" w:rsidRDefault="00F86E93" w:rsidP="002E447F">
            <w:pPr>
              <w:jc w:val="center"/>
              <w:rPr>
                <w:rFonts w:asciiTheme="majorHAnsi" w:hAnsiTheme="majorHAnsi" w:cstheme="minorHAnsi"/>
                <w:b/>
                <w:szCs w:val="24"/>
                <w:lang w:val="sr-Latn-CS" w:eastAsia="en-GB"/>
              </w:rPr>
            </w:pPr>
            <w:r w:rsidRPr="002A0BEE">
              <w:rPr>
                <w:rFonts w:asciiTheme="majorHAnsi" w:hAnsiTheme="majorHAnsi" w:cstheme="minorHAnsi"/>
                <w:b/>
                <w:szCs w:val="24"/>
                <w:lang w:val="sr-Latn-CS" w:eastAsia="en-GB"/>
              </w:rPr>
              <w:t xml:space="preserve">Iskor.u </w:t>
            </w:r>
            <w:r w:rsidR="00957AD0" w:rsidRPr="002A0BEE">
              <w:rPr>
                <w:rFonts w:asciiTheme="majorHAnsi" w:hAnsiTheme="majorHAnsi" w:cstheme="minorHAnsi"/>
                <w:b/>
                <w:szCs w:val="24"/>
                <w:lang w:val="sr-Latn-CS" w:eastAsia="en-GB"/>
              </w:rPr>
              <w:t>TGK(%)</w:t>
            </w:r>
          </w:p>
        </w:tc>
        <w:tc>
          <w:tcPr>
            <w:tcW w:w="1149" w:type="dxa"/>
            <w:tcBorders>
              <w:top w:val="double" w:sz="4" w:space="0" w:color="auto"/>
              <w:left w:val="single" w:sz="4" w:space="0" w:color="auto"/>
              <w:bottom w:val="thinThickSmallGap" w:sz="12" w:space="0" w:color="auto"/>
              <w:right w:val="double" w:sz="4" w:space="0" w:color="auto"/>
            </w:tcBorders>
            <w:shd w:val="clear" w:color="auto" w:fill="FFC000"/>
          </w:tcPr>
          <w:p w:rsidR="00957AD0" w:rsidRPr="002A0BEE" w:rsidRDefault="00F86E93" w:rsidP="002E447F">
            <w:pPr>
              <w:rPr>
                <w:rFonts w:asciiTheme="majorHAnsi" w:hAnsiTheme="majorHAnsi" w:cstheme="minorHAnsi"/>
                <w:b/>
                <w:szCs w:val="24"/>
                <w:lang w:val="sr-Latn-CS" w:eastAsia="en-GB"/>
              </w:rPr>
            </w:pPr>
            <w:r w:rsidRPr="002A0BEE">
              <w:rPr>
                <w:rFonts w:asciiTheme="majorHAnsi" w:hAnsiTheme="majorHAnsi" w:cstheme="minorHAnsi"/>
                <w:b/>
                <w:szCs w:val="24"/>
                <w:lang w:val="sr-Latn-CS" w:eastAsia="en-GB"/>
              </w:rPr>
              <w:t xml:space="preserve">Rez.  TGK    </w:t>
            </w:r>
            <w:r w:rsidR="00957AD0" w:rsidRPr="002A0BEE">
              <w:rPr>
                <w:rFonts w:asciiTheme="majorHAnsi" w:hAnsiTheme="majorHAnsi" w:cstheme="minorHAnsi"/>
                <w:b/>
                <w:szCs w:val="24"/>
                <w:lang w:val="sr-Latn-CS" w:eastAsia="en-GB"/>
              </w:rPr>
              <w:t>(m</w:t>
            </w:r>
            <w:r w:rsidR="00957AD0" w:rsidRPr="002A0BEE">
              <w:rPr>
                <w:rFonts w:asciiTheme="majorHAnsi" w:hAnsiTheme="majorHAnsi" w:cstheme="minorHAnsi"/>
                <w:b/>
                <w:szCs w:val="24"/>
                <w:vertAlign w:val="superscript"/>
                <w:lang w:val="sr-Latn-CS" w:eastAsia="en-GB"/>
              </w:rPr>
              <w:t>3</w:t>
            </w:r>
            <w:r w:rsidR="00957AD0" w:rsidRPr="002A0BEE">
              <w:rPr>
                <w:rFonts w:asciiTheme="majorHAnsi" w:hAnsiTheme="majorHAnsi" w:cstheme="minorHAnsi"/>
                <w:b/>
                <w:szCs w:val="24"/>
                <w:lang w:val="sr-Latn-CS" w:eastAsia="en-GB"/>
              </w:rPr>
              <w:t>)</w:t>
            </w:r>
          </w:p>
        </w:tc>
      </w:tr>
      <w:tr w:rsidR="00957AD0" w:rsidRPr="002A0BEE" w:rsidTr="00F86E93">
        <w:trPr>
          <w:trHeight w:val="231"/>
        </w:trPr>
        <w:tc>
          <w:tcPr>
            <w:tcW w:w="1816" w:type="dxa"/>
            <w:tcBorders>
              <w:top w:val="thinThickSmallGap" w:sz="12" w:space="0" w:color="auto"/>
              <w:left w:val="double" w:sz="4" w:space="0" w:color="auto"/>
              <w:bottom w:val="single" w:sz="4" w:space="0" w:color="auto"/>
              <w:right w:val="single" w:sz="4" w:space="0" w:color="auto"/>
            </w:tcBorders>
          </w:tcPr>
          <w:p w:rsidR="00957AD0" w:rsidRPr="002A0BEE" w:rsidRDefault="00957AD0" w:rsidP="002E447F">
            <w:pPr>
              <w:rPr>
                <w:rFonts w:asciiTheme="majorHAnsi" w:hAnsiTheme="majorHAnsi" w:cstheme="minorHAnsi"/>
                <w:szCs w:val="24"/>
                <w:lang w:val="sr-Latn-CS" w:eastAsia="en-GB"/>
              </w:rPr>
            </w:pPr>
            <w:r w:rsidRPr="002A0BEE">
              <w:rPr>
                <w:rFonts w:asciiTheme="majorHAnsi" w:hAnsiTheme="majorHAnsi" w:cstheme="minorHAnsi"/>
                <w:szCs w:val="24"/>
                <w:lang w:val="sr-Latn-CS" w:eastAsia="en-GB"/>
              </w:rPr>
              <w:t>- Prvi paket</w:t>
            </w:r>
          </w:p>
        </w:tc>
        <w:tc>
          <w:tcPr>
            <w:tcW w:w="1314" w:type="dxa"/>
            <w:tcBorders>
              <w:top w:val="thinThickSmallGap" w:sz="12" w:space="0" w:color="auto"/>
              <w:left w:val="single" w:sz="4" w:space="0" w:color="auto"/>
              <w:bottom w:val="single" w:sz="4" w:space="0" w:color="auto"/>
              <w:right w:val="single" w:sz="4" w:space="0" w:color="auto"/>
            </w:tcBorders>
          </w:tcPr>
          <w:p w:rsidR="00957AD0" w:rsidRPr="002A0BEE" w:rsidRDefault="00957AD0" w:rsidP="002E447F">
            <w:pPr>
              <w:jc w:val="center"/>
              <w:rPr>
                <w:rFonts w:asciiTheme="majorHAnsi" w:hAnsiTheme="majorHAnsi" w:cstheme="minorHAnsi"/>
                <w:szCs w:val="24"/>
                <w:lang w:val="sr-Latn-CS" w:eastAsia="en-GB"/>
              </w:rPr>
            </w:pPr>
            <w:r w:rsidRPr="002A0BEE">
              <w:rPr>
                <w:rFonts w:asciiTheme="majorHAnsi" w:hAnsiTheme="majorHAnsi" w:cstheme="minorHAnsi"/>
                <w:szCs w:val="24"/>
                <w:lang w:val="sr-Latn-CS" w:eastAsia="en-GB"/>
              </w:rPr>
              <w:t>B</w:t>
            </w:r>
          </w:p>
        </w:tc>
        <w:tc>
          <w:tcPr>
            <w:tcW w:w="1560" w:type="dxa"/>
            <w:tcBorders>
              <w:top w:val="thinThickSmallGap" w:sz="12" w:space="0" w:color="auto"/>
              <w:left w:val="single" w:sz="4" w:space="0" w:color="auto"/>
              <w:bottom w:val="single" w:sz="4" w:space="0" w:color="auto"/>
              <w:right w:val="single" w:sz="4" w:space="0" w:color="auto"/>
            </w:tcBorders>
          </w:tcPr>
          <w:p w:rsidR="00957AD0" w:rsidRPr="002A0BEE" w:rsidRDefault="00F86E93" w:rsidP="002E447F">
            <w:pPr>
              <w:rPr>
                <w:rFonts w:asciiTheme="majorHAnsi" w:hAnsiTheme="majorHAnsi" w:cstheme="minorHAnsi"/>
                <w:szCs w:val="24"/>
                <w:lang w:val="sr-Latn-CS"/>
              </w:rPr>
            </w:pPr>
            <w:r w:rsidRPr="002A0BEE">
              <w:rPr>
                <w:rFonts w:asciiTheme="majorHAnsi" w:hAnsiTheme="majorHAnsi" w:cstheme="minorHAnsi"/>
                <w:szCs w:val="24"/>
                <w:lang w:val="sr-Latn-CS"/>
              </w:rPr>
              <w:t xml:space="preserve">      </w:t>
            </w:r>
            <w:r w:rsidR="00957AD0" w:rsidRPr="002A0BEE">
              <w:rPr>
                <w:rFonts w:asciiTheme="majorHAnsi" w:hAnsiTheme="majorHAnsi" w:cstheme="minorHAnsi"/>
                <w:szCs w:val="24"/>
                <w:lang w:val="sr-Latn-CS"/>
              </w:rPr>
              <w:t>1.012.857</w:t>
            </w:r>
          </w:p>
        </w:tc>
        <w:tc>
          <w:tcPr>
            <w:tcW w:w="845" w:type="dxa"/>
            <w:tcBorders>
              <w:top w:val="thinThickSmallGap" w:sz="12" w:space="0" w:color="auto"/>
              <w:left w:val="single" w:sz="4" w:space="0" w:color="auto"/>
              <w:bottom w:val="single" w:sz="4" w:space="0" w:color="auto"/>
              <w:right w:val="single" w:sz="4" w:space="0" w:color="auto"/>
            </w:tcBorders>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22</w:t>
            </w:r>
          </w:p>
        </w:tc>
        <w:tc>
          <w:tcPr>
            <w:tcW w:w="1305" w:type="dxa"/>
            <w:tcBorders>
              <w:top w:val="thinThickSmallGap" w:sz="12" w:space="0" w:color="auto"/>
              <w:left w:val="single" w:sz="4" w:space="0" w:color="auto"/>
              <w:bottom w:val="single" w:sz="4" w:space="0" w:color="auto"/>
              <w:right w:val="single" w:sz="4" w:space="0" w:color="auto"/>
            </w:tcBorders>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222.828</w:t>
            </w:r>
          </w:p>
        </w:tc>
        <w:tc>
          <w:tcPr>
            <w:tcW w:w="851" w:type="dxa"/>
            <w:tcBorders>
              <w:top w:val="thinThickSmallGap" w:sz="12" w:space="0" w:color="auto"/>
              <w:left w:val="single" w:sz="4" w:space="0" w:color="auto"/>
              <w:bottom w:val="single" w:sz="4" w:space="0" w:color="auto"/>
              <w:right w:val="single" w:sz="4" w:space="0" w:color="auto"/>
            </w:tcBorders>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78</w:t>
            </w:r>
          </w:p>
        </w:tc>
        <w:tc>
          <w:tcPr>
            <w:tcW w:w="1149" w:type="dxa"/>
            <w:tcBorders>
              <w:top w:val="thinThickSmallGap" w:sz="12" w:space="0" w:color="auto"/>
              <w:left w:val="single" w:sz="4" w:space="0" w:color="auto"/>
              <w:bottom w:val="single" w:sz="4" w:space="0" w:color="auto"/>
              <w:right w:val="double" w:sz="4" w:space="0" w:color="auto"/>
            </w:tcBorders>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790.028</w:t>
            </w:r>
          </w:p>
        </w:tc>
      </w:tr>
      <w:tr w:rsidR="00957AD0" w:rsidRPr="002A0BEE" w:rsidTr="00F86E93">
        <w:trPr>
          <w:trHeight w:val="231"/>
        </w:trPr>
        <w:tc>
          <w:tcPr>
            <w:tcW w:w="1816" w:type="dxa"/>
            <w:tcBorders>
              <w:top w:val="single" w:sz="4" w:space="0" w:color="auto"/>
              <w:left w:val="double" w:sz="4" w:space="0" w:color="auto"/>
              <w:bottom w:val="double" w:sz="4" w:space="0" w:color="auto"/>
              <w:right w:val="single" w:sz="4" w:space="0" w:color="auto"/>
            </w:tcBorders>
          </w:tcPr>
          <w:p w:rsidR="00957AD0" w:rsidRPr="002A0BEE" w:rsidRDefault="00957AD0" w:rsidP="002E447F">
            <w:pPr>
              <w:rPr>
                <w:rFonts w:asciiTheme="majorHAnsi" w:hAnsiTheme="majorHAnsi" w:cstheme="minorHAnsi"/>
                <w:szCs w:val="24"/>
                <w:lang w:val="sr-Latn-CS" w:eastAsia="en-GB"/>
              </w:rPr>
            </w:pPr>
            <w:r w:rsidRPr="002A0BEE">
              <w:rPr>
                <w:rFonts w:asciiTheme="majorHAnsi" w:hAnsiTheme="majorHAnsi" w:cstheme="minorHAnsi"/>
                <w:szCs w:val="24"/>
                <w:lang w:val="sr-Latn-CS" w:eastAsia="en-GB"/>
              </w:rPr>
              <w:t>- Drugi paket</w:t>
            </w:r>
          </w:p>
        </w:tc>
        <w:tc>
          <w:tcPr>
            <w:tcW w:w="1314" w:type="dxa"/>
            <w:tcBorders>
              <w:top w:val="single" w:sz="4" w:space="0" w:color="auto"/>
              <w:left w:val="single" w:sz="4" w:space="0" w:color="auto"/>
              <w:bottom w:val="double" w:sz="4" w:space="0" w:color="auto"/>
              <w:right w:val="single" w:sz="4" w:space="0" w:color="auto"/>
            </w:tcBorders>
          </w:tcPr>
          <w:p w:rsidR="00957AD0" w:rsidRPr="002A0BEE" w:rsidRDefault="00957AD0" w:rsidP="002E447F">
            <w:pPr>
              <w:jc w:val="center"/>
              <w:rPr>
                <w:rFonts w:asciiTheme="majorHAnsi" w:hAnsiTheme="majorHAnsi" w:cstheme="minorHAnsi"/>
                <w:szCs w:val="24"/>
                <w:lang w:val="sr-Latn-CS" w:eastAsia="en-GB"/>
              </w:rPr>
            </w:pPr>
            <w:r w:rsidRPr="002A0BEE">
              <w:rPr>
                <w:rFonts w:asciiTheme="majorHAnsi" w:hAnsiTheme="majorHAnsi" w:cstheme="minorHAnsi"/>
                <w:szCs w:val="24"/>
                <w:lang w:val="sr-Latn-CS" w:eastAsia="en-GB"/>
              </w:rPr>
              <w:t>B</w:t>
            </w:r>
          </w:p>
        </w:tc>
        <w:tc>
          <w:tcPr>
            <w:tcW w:w="1560" w:type="dxa"/>
            <w:tcBorders>
              <w:top w:val="single" w:sz="4" w:space="0" w:color="auto"/>
              <w:left w:val="single" w:sz="4" w:space="0" w:color="auto"/>
              <w:bottom w:val="double" w:sz="4" w:space="0" w:color="auto"/>
              <w:right w:val="single" w:sz="4" w:space="0" w:color="auto"/>
            </w:tcBorders>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 xml:space="preserve">  </w:t>
            </w:r>
            <w:r w:rsidR="00F86E93"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571.122</w:t>
            </w:r>
          </w:p>
        </w:tc>
        <w:tc>
          <w:tcPr>
            <w:tcW w:w="845" w:type="dxa"/>
            <w:tcBorders>
              <w:top w:val="single" w:sz="4" w:space="0" w:color="auto"/>
              <w:left w:val="single" w:sz="4" w:space="0" w:color="auto"/>
              <w:bottom w:val="double" w:sz="4" w:space="0" w:color="auto"/>
              <w:right w:val="sing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w:t>
            </w:r>
          </w:p>
        </w:tc>
        <w:tc>
          <w:tcPr>
            <w:tcW w:w="1305" w:type="dxa"/>
            <w:tcBorders>
              <w:top w:val="single" w:sz="4" w:space="0" w:color="auto"/>
              <w:left w:val="single" w:sz="4" w:space="0" w:color="auto"/>
              <w:bottom w:val="double" w:sz="4" w:space="0" w:color="auto"/>
              <w:right w:val="sing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w:t>
            </w:r>
          </w:p>
        </w:tc>
        <w:tc>
          <w:tcPr>
            <w:tcW w:w="851" w:type="dxa"/>
            <w:tcBorders>
              <w:top w:val="single" w:sz="4" w:space="0" w:color="auto"/>
              <w:left w:val="single" w:sz="4" w:space="0" w:color="auto"/>
              <w:bottom w:val="double" w:sz="4" w:space="0" w:color="auto"/>
              <w:right w:val="single" w:sz="4" w:space="0" w:color="auto"/>
            </w:tcBorders>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100</w:t>
            </w:r>
          </w:p>
        </w:tc>
        <w:tc>
          <w:tcPr>
            <w:tcW w:w="1149" w:type="dxa"/>
            <w:tcBorders>
              <w:top w:val="single" w:sz="4" w:space="0" w:color="auto"/>
              <w:left w:val="single" w:sz="4" w:space="0" w:color="auto"/>
              <w:bottom w:val="double" w:sz="4" w:space="0" w:color="auto"/>
              <w:right w:val="double" w:sz="4" w:space="0" w:color="auto"/>
            </w:tcBorders>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571.122</w:t>
            </w:r>
          </w:p>
        </w:tc>
      </w:tr>
      <w:tr w:rsidR="00957AD0" w:rsidRPr="002A0BEE" w:rsidTr="00F86E93">
        <w:trPr>
          <w:trHeight w:val="231"/>
        </w:trPr>
        <w:tc>
          <w:tcPr>
            <w:tcW w:w="1816" w:type="dxa"/>
            <w:tcBorders>
              <w:top w:val="double" w:sz="4" w:space="0" w:color="auto"/>
              <w:left w:val="double" w:sz="4" w:space="0" w:color="auto"/>
              <w:bottom w:val="double" w:sz="4" w:space="0" w:color="auto"/>
              <w:right w:val="single" w:sz="4" w:space="0" w:color="auto"/>
            </w:tcBorders>
          </w:tcPr>
          <w:p w:rsidR="00957AD0" w:rsidRPr="002A0BEE" w:rsidRDefault="00957AD0" w:rsidP="002E447F">
            <w:pPr>
              <w:rPr>
                <w:rFonts w:asciiTheme="majorHAnsi" w:hAnsiTheme="majorHAnsi" w:cstheme="minorHAnsi"/>
                <w:b/>
                <w:szCs w:val="24"/>
                <w:lang w:val="sr-Latn-CS" w:eastAsia="en-GB"/>
              </w:rPr>
            </w:pPr>
            <w:r w:rsidRPr="002A0BEE">
              <w:rPr>
                <w:rFonts w:asciiTheme="majorHAnsi" w:hAnsiTheme="majorHAnsi" w:cstheme="minorHAnsi"/>
                <w:b/>
                <w:szCs w:val="24"/>
                <w:lang w:val="sr-Latn-CS" w:eastAsia="en-GB"/>
              </w:rPr>
              <w:t>Ukupno I+II</w:t>
            </w:r>
          </w:p>
        </w:tc>
        <w:tc>
          <w:tcPr>
            <w:tcW w:w="1314" w:type="dxa"/>
            <w:tcBorders>
              <w:top w:val="double" w:sz="4" w:space="0" w:color="auto"/>
              <w:left w:val="single" w:sz="4" w:space="0" w:color="auto"/>
              <w:bottom w:val="double" w:sz="4" w:space="0" w:color="auto"/>
              <w:right w:val="single" w:sz="4" w:space="0" w:color="auto"/>
            </w:tcBorders>
          </w:tcPr>
          <w:p w:rsidR="00957AD0" w:rsidRPr="002A0BEE" w:rsidRDefault="00957AD0" w:rsidP="002E447F">
            <w:pPr>
              <w:jc w:val="center"/>
              <w:rPr>
                <w:rFonts w:asciiTheme="majorHAnsi" w:hAnsiTheme="majorHAnsi" w:cstheme="minorHAnsi"/>
                <w:b/>
                <w:szCs w:val="24"/>
                <w:lang w:val="sr-Latn-CS" w:eastAsia="en-GB"/>
              </w:rPr>
            </w:pPr>
            <w:r w:rsidRPr="002A0BEE">
              <w:rPr>
                <w:rFonts w:asciiTheme="majorHAnsi" w:hAnsiTheme="majorHAnsi" w:cstheme="minorHAnsi"/>
                <w:b/>
                <w:szCs w:val="24"/>
                <w:lang w:val="sr-Latn-CS" w:eastAsia="en-GB"/>
              </w:rPr>
              <w:t>B</w:t>
            </w:r>
          </w:p>
        </w:tc>
        <w:tc>
          <w:tcPr>
            <w:tcW w:w="1560" w:type="dxa"/>
            <w:tcBorders>
              <w:top w:val="double" w:sz="4" w:space="0" w:color="auto"/>
              <w:left w:val="single" w:sz="4" w:space="0" w:color="auto"/>
              <w:bottom w:val="double" w:sz="4" w:space="0" w:color="auto"/>
              <w:right w:val="single" w:sz="4" w:space="0" w:color="auto"/>
            </w:tcBorders>
          </w:tcPr>
          <w:p w:rsidR="00957AD0" w:rsidRPr="002A0BEE" w:rsidRDefault="00F86E93" w:rsidP="002E447F">
            <w:pPr>
              <w:rPr>
                <w:rFonts w:asciiTheme="majorHAnsi" w:hAnsiTheme="majorHAnsi" w:cstheme="minorHAnsi"/>
                <w:b/>
                <w:szCs w:val="24"/>
                <w:lang w:val="sr-Latn-CS"/>
              </w:rPr>
            </w:pPr>
            <w:r w:rsidRPr="002A0BEE">
              <w:rPr>
                <w:rFonts w:asciiTheme="majorHAnsi" w:hAnsiTheme="majorHAnsi" w:cstheme="minorHAnsi"/>
                <w:b/>
                <w:szCs w:val="24"/>
                <w:lang w:val="sr-Latn-CS"/>
              </w:rPr>
              <w:t xml:space="preserve">     </w:t>
            </w:r>
            <w:r w:rsidR="00957AD0" w:rsidRPr="002A0BEE">
              <w:rPr>
                <w:rFonts w:asciiTheme="majorHAnsi" w:hAnsiTheme="majorHAnsi" w:cstheme="minorHAnsi"/>
                <w:b/>
                <w:szCs w:val="24"/>
                <w:lang w:val="sr-Latn-CS"/>
              </w:rPr>
              <w:t>1.583.979</w:t>
            </w:r>
          </w:p>
        </w:tc>
        <w:tc>
          <w:tcPr>
            <w:tcW w:w="845" w:type="dxa"/>
            <w:tcBorders>
              <w:top w:val="double" w:sz="4" w:space="0" w:color="auto"/>
              <w:left w:val="single" w:sz="4" w:space="0" w:color="auto"/>
              <w:bottom w:val="double" w:sz="4" w:space="0" w:color="auto"/>
              <w:right w:val="sing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14,06</w:t>
            </w:r>
          </w:p>
        </w:tc>
        <w:tc>
          <w:tcPr>
            <w:tcW w:w="1305" w:type="dxa"/>
            <w:tcBorders>
              <w:top w:val="double" w:sz="4" w:space="0" w:color="auto"/>
              <w:left w:val="single" w:sz="4" w:space="0" w:color="auto"/>
              <w:bottom w:val="double" w:sz="4" w:space="0" w:color="auto"/>
              <w:right w:val="sing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222.828</w:t>
            </w:r>
          </w:p>
        </w:tc>
        <w:tc>
          <w:tcPr>
            <w:tcW w:w="851" w:type="dxa"/>
            <w:tcBorders>
              <w:top w:val="double" w:sz="4" w:space="0" w:color="auto"/>
              <w:left w:val="single" w:sz="4" w:space="0" w:color="auto"/>
              <w:bottom w:val="double" w:sz="4" w:space="0" w:color="auto"/>
              <w:right w:val="sing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85,95</w:t>
            </w:r>
          </w:p>
        </w:tc>
        <w:tc>
          <w:tcPr>
            <w:tcW w:w="1149" w:type="dxa"/>
            <w:tcBorders>
              <w:top w:val="double" w:sz="4" w:space="0" w:color="auto"/>
              <w:left w:val="single" w:sz="4" w:space="0" w:color="auto"/>
              <w:bottom w:val="double" w:sz="4" w:space="0" w:color="auto"/>
              <w:right w:val="doub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1.361 150</w:t>
            </w:r>
          </w:p>
        </w:tc>
      </w:tr>
    </w:tbl>
    <w:p w:rsidR="00957AD0" w:rsidRPr="002A0BEE" w:rsidRDefault="00957AD0" w:rsidP="00AF2D20">
      <w:pPr>
        <w:jc w:val="both"/>
        <w:rPr>
          <w:rFonts w:asciiTheme="majorHAnsi" w:hAnsiTheme="majorHAnsi" w:cstheme="minorHAnsi"/>
          <w:color w:val="000000"/>
          <w:szCs w:val="24"/>
          <w:lang w:val="sr-Latn-CS"/>
        </w:rPr>
      </w:pPr>
    </w:p>
    <w:p w:rsidR="00957AD0" w:rsidRPr="002A0BEE" w:rsidRDefault="00957AD0" w:rsidP="00AF2D20">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Iz </w:t>
      </w:r>
      <w:r w:rsidR="00DF7E27" w:rsidRPr="002A0BEE">
        <w:rPr>
          <w:rFonts w:asciiTheme="majorHAnsi" w:hAnsiTheme="majorHAnsi" w:cstheme="minorHAnsi"/>
          <w:szCs w:val="24"/>
          <w:lang w:val="sr-Latn-CS"/>
        </w:rPr>
        <w:t>tabele</w:t>
      </w:r>
      <w:r w:rsidRPr="002A0BEE">
        <w:rPr>
          <w:rFonts w:asciiTheme="majorHAnsi" w:hAnsiTheme="majorHAnsi" w:cstheme="minorHAnsi"/>
          <w:szCs w:val="24"/>
          <w:lang w:val="sr-Latn-CS"/>
        </w:rPr>
        <w:t xml:space="preserve"> o rezervama može se zaključiti da je učešče </w:t>
      </w:r>
      <w:r w:rsidR="00DF7E27" w:rsidRPr="002A0BEE">
        <w:rPr>
          <w:rFonts w:asciiTheme="majorHAnsi" w:hAnsiTheme="majorHAnsi" w:cstheme="minorHAnsi"/>
          <w:szCs w:val="24"/>
          <w:lang w:val="sr-Latn-CS"/>
        </w:rPr>
        <w:t>rezervi arhitektonsko-građevinskog kamena</w:t>
      </w:r>
      <w:r w:rsidRPr="002A0BEE">
        <w:rPr>
          <w:rFonts w:asciiTheme="majorHAnsi" w:hAnsiTheme="majorHAnsi" w:cstheme="minorHAnsi"/>
          <w:szCs w:val="24"/>
          <w:lang w:val="sr-Latn-CS"/>
        </w:rPr>
        <w:t xml:space="preserve"> u ležištu</w:t>
      </w:r>
      <w:r w:rsidR="00DF7E27" w:rsidRPr="002A0BEE">
        <w:rPr>
          <w:rFonts w:asciiTheme="majorHAnsi" w:hAnsiTheme="majorHAnsi" w:cstheme="minorHAnsi"/>
          <w:szCs w:val="24"/>
          <w:lang w:val="sr-Latn-CS"/>
        </w:rPr>
        <w:t xml:space="preserve"> manje u odnosu na rezerve tehničko-građevinskog kamena čije učešće je oko 86% a arhitektonsko-građevinskog kamena </w:t>
      </w:r>
      <w:r w:rsidRPr="002A0BEE">
        <w:rPr>
          <w:rFonts w:asciiTheme="majorHAnsi" w:hAnsiTheme="majorHAnsi" w:cstheme="minorHAnsi"/>
          <w:szCs w:val="24"/>
          <w:lang w:val="sr-Latn-CS"/>
        </w:rPr>
        <w:t>oko 14% .</w:t>
      </w:r>
    </w:p>
    <w:p w:rsidR="00957AD0" w:rsidRPr="002A0BEE" w:rsidRDefault="00957AD0" w:rsidP="00AF2D20">
      <w:pPr>
        <w:pStyle w:val="ListParagraph"/>
        <w:numPr>
          <w:ilvl w:val="2"/>
          <w:numId w:val="9"/>
        </w:numPr>
        <w:contextualSpacing w:val="0"/>
        <w:jc w:val="both"/>
        <w:rPr>
          <w:rFonts w:asciiTheme="majorHAnsi" w:hAnsiTheme="majorHAnsi" w:cstheme="minorHAnsi"/>
          <w:b/>
          <w:color w:val="000000"/>
          <w:szCs w:val="24"/>
          <w:lang w:val="sr-Latn-CS"/>
        </w:rPr>
      </w:pPr>
      <w:r w:rsidRPr="002A0BEE">
        <w:rPr>
          <w:rFonts w:asciiTheme="majorHAnsi" w:hAnsiTheme="majorHAnsi" w:cstheme="minorHAnsi"/>
          <w:b/>
          <w:color w:val="000000"/>
          <w:szCs w:val="24"/>
          <w:lang w:val="sr-Latn-CS"/>
        </w:rPr>
        <w:t>Rezultati laboratorijskih ispitivanja kvaliteta mineralne sirovine/krečnjaka</w:t>
      </w:r>
    </w:p>
    <w:p w:rsidR="00957AD0" w:rsidRPr="002A0BEE" w:rsidRDefault="00957AD0" w:rsidP="00AF2D20">
      <w:pPr>
        <w:jc w:val="both"/>
        <w:rPr>
          <w:rFonts w:asciiTheme="majorHAnsi" w:hAnsiTheme="majorHAnsi" w:cstheme="minorHAnsi"/>
          <w:szCs w:val="24"/>
          <w:lang w:val="sr-Latn-CS"/>
        </w:rPr>
      </w:pPr>
      <w:r w:rsidRPr="002A0BEE">
        <w:rPr>
          <w:rFonts w:asciiTheme="majorHAnsi" w:hAnsiTheme="majorHAnsi" w:cstheme="minorHAnsi"/>
          <w:szCs w:val="24"/>
          <w:lang w:val="sr-Latn-CS"/>
        </w:rPr>
        <w:t>Laboratorijska ispitivanja krečnjaka “Visočica</w:t>
      </w:r>
      <w:r w:rsidR="00DF7E27" w:rsidRPr="002A0BEE">
        <w:rPr>
          <w:rFonts w:asciiTheme="majorHAnsi" w:hAnsiTheme="majorHAnsi" w:cstheme="minorHAnsi"/>
          <w:szCs w:val="24"/>
          <w:lang w:val="sr-Latn-CS"/>
        </w:rPr>
        <w:t xml:space="preserve">“ rađena </w:t>
      </w:r>
      <w:r w:rsidRPr="002A0BEE">
        <w:rPr>
          <w:rFonts w:asciiTheme="majorHAnsi" w:hAnsiTheme="majorHAnsi" w:cstheme="minorHAnsi"/>
          <w:szCs w:val="24"/>
          <w:lang w:val="sr-Latn-CS"/>
        </w:rPr>
        <w:t>su u cilju utvrđivanja hemi</w:t>
      </w:r>
      <w:r w:rsidR="00DF7E27" w:rsidRPr="002A0BEE">
        <w:rPr>
          <w:rFonts w:asciiTheme="majorHAnsi" w:hAnsiTheme="majorHAnsi" w:cstheme="minorHAnsi"/>
          <w:szCs w:val="24"/>
          <w:lang w:val="sr-Latn-CS"/>
        </w:rPr>
        <w:t>jskih, minera</w:t>
      </w:r>
      <w:r w:rsidRPr="002A0BEE">
        <w:rPr>
          <w:rFonts w:asciiTheme="majorHAnsi" w:hAnsiTheme="majorHAnsi" w:cstheme="minorHAnsi"/>
          <w:szCs w:val="24"/>
          <w:lang w:val="sr-Latn-CS"/>
        </w:rPr>
        <w:t>loško-petrografski</w:t>
      </w:r>
      <w:r w:rsidR="00DF7E27" w:rsidRPr="002A0BEE">
        <w:rPr>
          <w:rFonts w:asciiTheme="majorHAnsi" w:hAnsiTheme="majorHAnsi" w:cstheme="minorHAnsi"/>
          <w:szCs w:val="24"/>
          <w:lang w:val="sr-Latn-CS"/>
        </w:rPr>
        <w:t xml:space="preserve">h, </w:t>
      </w:r>
      <w:r w:rsidRPr="002A0BEE">
        <w:rPr>
          <w:rFonts w:asciiTheme="majorHAnsi" w:hAnsiTheme="majorHAnsi" w:cstheme="minorHAnsi"/>
          <w:szCs w:val="24"/>
          <w:lang w:val="sr-Latn-CS"/>
        </w:rPr>
        <w:t>fizičko-mehaničkih i dr</w:t>
      </w:r>
      <w:r w:rsidR="00DF7E27" w:rsidRPr="002A0BEE">
        <w:rPr>
          <w:rFonts w:asciiTheme="majorHAnsi" w:hAnsiTheme="majorHAnsi" w:cstheme="minorHAnsi"/>
          <w:szCs w:val="24"/>
          <w:lang w:val="sr-Latn-CS"/>
        </w:rPr>
        <w:t>ugih</w:t>
      </w:r>
      <w:r w:rsidRPr="002A0BEE">
        <w:rPr>
          <w:rFonts w:asciiTheme="majorHAnsi" w:hAnsiTheme="majorHAnsi" w:cstheme="minorHAnsi"/>
          <w:szCs w:val="24"/>
          <w:lang w:val="sr-Latn-CS"/>
        </w:rPr>
        <w:t xml:space="preserve"> svojstava, kojima se definiše kvalitet i mogućnost valorizacije proizvoda kroz primjenu u različiti</w:t>
      </w:r>
      <w:r w:rsidR="00DF7E27" w:rsidRPr="002A0BEE">
        <w:rPr>
          <w:rFonts w:asciiTheme="majorHAnsi" w:hAnsiTheme="majorHAnsi" w:cstheme="minorHAnsi"/>
          <w:szCs w:val="24"/>
          <w:lang w:val="sr-Latn-CS"/>
        </w:rPr>
        <w:t>m granama privrede. Vršena su:</w:t>
      </w:r>
      <w:r w:rsidR="0041761A"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izradom, u vi</w:t>
      </w:r>
      <w:r w:rsidR="0041761A" w:rsidRPr="002A0BEE">
        <w:rPr>
          <w:rFonts w:asciiTheme="majorHAnsi" w:hAnsiTheme="majorHAnsi" w:cstheme="minorHAnsi"/>
          <w:szCs w:val="24"/>
          <w:lang w:val="sr-Latn-CS"/>
        </w:rPr>
        <w:t>š</w:t>
      </w:r>
      <w:r w:rsidRPr="002A0BEE">
        <w:rPr>
          <w:rFonts w:asciiTheme="majorHAnsi" w:hAnsiTheme="majorHAnsi" w:cstheme="minorHAnsi"/>
          <w:szCs w:val="24"/>
          <w:lang w:val="sr-Latn-CS"/>
        </w:rPr>
        <w:t>e navrata, skraćenih i kompletnih hemijskih analiza, petrografskimi spitivanjima, odredbom zapreminske i specifične mase i fizičko-mehaničkih svojstava, kako na monolitnoj stijenskoj masi, tako i na frkcionim agregatima i praškastim proizvodima.</w:t>
      </w:r>
    </w:p>
    <w:p w:rsidR="00957AD0" w:rsidRPr="002A0BEE" w:rsidRDefault="00957AD0" w:rsidP="00AF2D20">
      <w:pPr>
        <w:jc w:val="both"/>
        <w:rPr>
          <w:rFonts w:asciiTheme="majorHAnsi" w:hAnsiTheme="majorHAnsi" w:cstheme="minorHAnsi"/>
          <w:szCs w:val="24"/>
          <w:lang w:val="sr-Latn-CS"/>
        </w:rPr>
      </w:pPr>
      <w:r w:rsidRPr="002A0BEE">
        <w:rPr>
          <w:rFonts w:asciiTheme="majorHAnsi" w:hAnsiTheme="majorHAnsi" w:cstheme="minorHAnsi"/>
          <w:b/>
          <w:szCs w:val="24"/>
          <w:u w:val="single"/>
          <w:lang w:val="sr-Latn-CS"/>
        </w:rPr>
        <w:t>Skraćene hemijske analize.</w:t>
      </w:r>
      <w:r w:rsidRPr="002A0BEE">
        <w:rPr>
          <w:rFonts w:asciiTheme="majorHAnsi" w:hAnsiTheme="majorHAnsi" w:cstheme="minorHAnsi"/>
          <w:szCs w:val="24"/>
          <w:lang w:val="sr-Latn-CS"/>
        </w:rPr>
        <w:t xml:space="preserve"> Ukupno je laboratori</w:t>
      </w:r>
      <w:r w:rsidR="00A40E54" w:rsidRPr="002A0BEE">
        <w:rPr>
          <w:rFonts w:asciiTheme="majorHAnsi" w:hAnsiTheme="majorHAnsi" w:cstheme="minorHAnsi"/>
          <w:szCs w:val="24"/>
          <w:lang w:val="sr-Latn-CS"/>
        </w:rPr>
        <w:t>j</w:t>
      </w:r>
      <w:r w:rsidRPr="002A0BEE">
        <w:rPr>
          <w:rFonts w:asciiTheme="majorHAnsi" w:hAnsiTheme="majorHAnsi" w:cstheme="minorHAnsi"/>
          <w:szCs w:val="24"/>
          <w:lang w:val="sr-Latn-CS"/>
        </w:rPr>
        <w:t>a KAP-a</w:t>
      </w:r>
      <w:r w:rsidR="00A40E54" w:rsidRPr="002A0BEE">
        <w:rPr>
          <w:rFonts w:asciiTheme="majorHAnsi" w:hAnsiTheme="majorHAnsi" w:cstheme="minorHAnsi"/>
          <w:szCs w:val="24"/>
          <w:lang w:val="sr-Latn-CS"/>
        </w:rPr>
        <w:t xml:space="preserve"> - </w:t>
      </w:r>
      <w:r w:rsidRPr="002A0BEE">
        <w:rPr>
          <w:rFonts w:asciiTheme="majorHAnsi" w:hAnsiTheme="majorHAnsi" w:cstheme="minorHAnsi"/>
          <w:szCs w:val="24"/>
          <w:lang w:val="sr-Latn-CS"/>
        </w:rPr>
        <w:t>Podgorica, uradila 293 analize (1974 i 1985.). Kvalitet je utvrđivan oprobavanjem krečnjaka po profilima, na osnovu pojedinačnih proba.</w:t>
      </w:r>
      <w:r w:rsidR="00A40E54"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xml:space="preserve">Analizom pokazatelja oprobavanja i utvrđivanja hemijskog sastava </w:t>
      </w:r>
      <w:r w:rsidRPr="002A0BEE">
        <w:rPr>
          <w:rFonts w:asciiTheme="majorHAnsi" w:hAnsiTheme="majorHAnsi" w:cstheme="minorHAnsi"/>
          <w:szCs w:val="24"/>
          <w:lang w:val="sr-Latn-CS"/>
        </w:rPr>
        <w:lastRenderedPageBreak/>
        <w:t>krečnjaka u ležištu</w:t>
      </w:r>
      <w:r w:rsidR="00A40E54"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doš</w:t>
      </w:r>
      <w:r w:rsidR="00A40E54" w:rsidRPr="002A0BEE">
        <w:rPr>
          <w:rFonts w:asciiTheme="majorHAnsi" w:hAnsiTheme="majorHAnsi" w:cstheme="minorHAnsi"/>
          <w:szCs w:val="24"/>
          <w:lang w:val="sr-Latn-CS"/>
        </w:rPr>
        <w:t xml:space="preserve">lo se do podataka </w:t>
      </w:r>
      <w:r w:rsidRPr="002A0BEE">
        <w:rPr>
          <w:rFonts w:asciiTheme="majorHAnsi" w:hAnsiTheme="majorHAnsi" w:cstheme="minorHAnsi"/>
          <w:szCs w:val="24"/>
          <w:lang w:val="sr-Latn-CS"/>
        </w:rPr>
        <w:t>da je u ležištu veoma mali koeficijent</w:t>
      </w:r>
      <w:r w:rsidR="00A40E54" w:rsidRPr="002A0BEE">
        <w:rPr>
          <w:rFonts w:asciiTheme="majorHAnsi" w:hAnsiTheme="majorHAnsi" w:cstheme="minorHAnsi"/>
          <w:szCs w:val="24"/>
          <w:lang w:val="sr-Latn-CS"/>
        </w:rPr>
        <w:t xml:space="preserve"> varijacije CaO</w:t>
      </w:r>
      <w:r w:rsidRPr="002A0BEE">
        <w:rPr>
          <w:rFonts w:asciiTheme="majorHAnsi" w:hAnsiTheme="majorHAnsi" w:cstheme="minorHAnsi"/>
          <w:szCs w:val="24"/>
          <w:lang w:val="sr-Latn-CS"/>
        </w:rPr>
        <w:t xml:space="preserve"> i da je učešče CaO u</w:t>
      </w:r>
      <w:r w:rsidR="00A40E54" w:rsidRPr="002A0BEE">
        <w:rPr>
          <w:rFonts w:asciiTheme="majorHAnsi" w:hAnsiTheme="majorHAnsi" w:cstheme="minorHAnsi"/>
          <w:szCs w:val="24"/>
          <w:lang w:val="sr-Latn-CS"/>
        </w:rPr>
        <w:t xml:space="preserve"> krečnjacima ležišta “Visočica”</w:t>
      </w:r>
      <w:r w:rsidRPr="002A0BEE">
        <w:rPr>
          <w:rFonts w:asciiTheme="majorHAnsi" w:hAnsiTheme="majorHAnsi" w:cstheme="minorHAnsi"/>
          <w:szCs w:val="24"/>
          <w:lang w:val="sr-Latn-CS"/>
        </w:rPr>
        <w:t xml:space="preserve">ravnomjerno.  </w:t>
      </w:r>
    </w:p>
    <w:p w:rsidR="00957AD0" w:rsidRPr="002A0BEE" w:rsidRDefault="00957AD0" w:rsidP="00AF2D20">
      <w:pPr>
        <w:jc w:val="both"/>
        <w:rPr>
          <w:rFonts w:asciiTheme="majorHAnsi" w:hAnsiTheme="majorHAnsi" w:cstheme="minorHAnsi"/>
          <w:szCs w:val="24"/>
          <w:lang w:val="sr-Latn-CS"/>
        </w:rPr>
      </w:pPr>
      <w:r w:rsidRPr="002A0BEE">
        <w:rPr>
          <w:rFonts w:asciiTheme="majorHAnsi" w:hAnsiTheme="majorHAnsi" w:cstheme="minorHAnsi"/>
          <w:szCs w:val="24"/>
          <w:lang w:val="sr-Latn-CS"/>
        </w:rPr>
        <w:t>Na osnovu dobijenih podataka o hemizmu krečnjaka Visočice i klasifikacije S.S. Vinogradova</w:t>
      </w:r>
      <w:r w:rsidR="00A40E54"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može se zaključiti da pripadaju klasi čistih krečnjaka, čiji sadržaj MgO i S</w:t>
      </w:r>
      <w:r w:rsidR="007F728E" w:rsidRPr="002A0BEE">
        <w:rPr>
          <w:rFonts w:asciiTheme="majorHAnsi" w:hAnsiTheme="majorHAnsi" w:cstheme="minorHAnsi"/>
          <w:szCs w:val="24"/>
          <w:lang w:val="sr-Latn-CS"/>
        </w:rPr>
        <w:t>i</w:t>
      </w:r>
      <w:r w:rsidRPr="002A0BEE">
        <w:rPr>
          <w:rFonts w:asciiTheme="majorHAnsi" w:hAnsiTheme="majorHAnsi" w:cstheme="minorHAnsi"/>
          <w:szCs w:val="24"/>
          <w:lang w:val="sr-Latn-CS"/>
        </w:rPr>
        <w:t>O</w:t>
      </w:r>
      <w:r w:rsidRPr="002A0BEE">
        <w:rPr>
          <w:rFonts w:asciiTheme="majorHAnsi" w:hAnsiTheme="majorHAnsi" w:cstheme="minorHAnsi"/>
          <w:szCs w:val="24"/>
          <w:vertAlign w:val="subscript"/>
          <w:lang w:val="sr-Latn-CS"/>
        </w:rPr>
        <w:t>2</w:t>
      </w:r>
      <w:r w:rsidRPr="002A0BEE">
        <w:rPr>
          <w:rFonts w:asciiTheme="majorHAnsi" w:hAnsiTheme="majorHAnsi" w:cstheme="minorHAnsi"/>
          <w:szCs w:val="24"/>
          <w:lang w:val="sr-Latn-CS"/>
        </w:rPr>
        <w:t>+R</w:t>
      </w:r>
      <w:r w:rsidRPr="002A0BEE">
        <w:rPr>
          <w:rFonts w:asciiTheme="majorHAnsi" w:hAnsiTheme="majorHAnsi" w:cstheme="minorHAnsi"/>
          <w:szCs w:val="24"/>
          <w:vertAlign w:val="subscript"/>
          <w:lang w:val="sr-Latn-CS"/>
        </w:rPr>
        <w:t>2</w:t>
      </w:r>
      <w:r w:rsidRPr="002A0BEE">
        <w:rPr>
          <w:rFonts w:asciiTheme="majorHAnsi" w:hAnsiTheme="majorHAnsi" w:cstheme="minorHAnsi"/>
          <w:szCs w:val="24"/>
          <w:lang w:val="sr-Latn-CS"/>
        </w:rPr>
        <w:t>O</w:t>
      </w:r>
      <w:r w:rsidRPr="002A0BEE">
        <w:rPr>
          <w:rFonts w:asciiTheme="majorHAnsi" w:hAnsiTheme="majorHAnsi" w:cstheme="minorHAnsi"/>
          <w:szCs w:val="24"/>
          <w:vertAlign w:val="subscript"/>
          <w:lang w:val="sr-Latn-CS"/>
        </w:rPr>
        <w:t xml:space="preserve">3 </w:t>
      </w:r>
      <w:r w:rsidR="00A40E54" w:rsidRPr="002A0BEE">
        <w:rPr>
          <w:rFonts w:asciiTheme="majorHAnsi" w:hAnsiTheme="majorHAnsi" w:cstheme="minorHAnsi"/>
          <w:szCs w:val="24"/>
          <w:lang w:val="sr-Latn-CS"/>
        </w:rPr>
        <w:t xml:space="preserve">je ispod 1,2, </w:t>
      </w:r>
      <w:r w:rsidRPr="002A0BEE">
        <w:rPr>
          <w:rFonts w:asciiTheme="majorHAnsi" w:hAnsiTheme="majorHAnsi" w:cstheme="minorHAnsi"/>
          <w:szCs w:val="24"/>
          <w:lang w:val="sr-Latn-CS"/>
        </w:rPr>
        <w:t>odnosno 2%.</w:t>
      </w:r>
    </w:p>
    <w:p w:rsidR="00957AD0" w:rsidRPr="002A0BEE" w:rsidRDefault="00957AD0" w:rsidP="00AF2D20">
      <w:pPr>
        <w:rPr>
          <w:rFonts w:asciiTheme="majorHAnsi" w:hAnsiTheme="majorHAnsi" w:cstheme="minorHAnsi"/>
          <w:szCs w:val="24"/>
          <w:lang w:val="sr-Latn-CS"/>
        </w:rPr>
      </w:pPr>
      <w:r w:rsidRPr="002A0BEE">
        <w:rPr>
          <w:rFonts w:asciiTheme="majorHAnsi" w:hAnsiTheme="majorHAnsi" w:cstheme="minorHAnsi"/>
          <w:b/>
          <w:szCs w:val="24"/>
          <w:u w:val="single"/>
          <w:lang w:val="sr-Latn-CS"/>
        </w:rPr>
        <w:t xml:space="preserve">Kompletne hemijske analize </w:t>
      </w:r>
      <w:r w:rsidRPr="002A0BEE">
        <w:rPr>
          <w:rFonts w:asciiTheme="majorHAnsi" w:hAnsiTheme="majorHAnsi" w:cstheme="minorHAnsi"/>
          <w:szCs w:val="24"/>
          <w:lang w:val="sr-Latn-CS"/>
        </w:rPr>
        <w:t>urađene su u hemijskoj laboratoriiji “Geoinstituta“</w:t>
      </w:r>
      <w:r w:rsidR="007F728E"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xml:space="preserve"> Beograd, na 5 proba</w:t>
      </w:r>
      <w:r w:rsidR="00A40E54" w:rsidRPr="002A0BEE">
        <w:rPr>
          <w:rFonts w:asciiTheme="majorHAnsi" w:hAnsiTheme="majorHAnsi" w:cstheme="minorHAnsi"/>
          <w:szCs w:val="24"/>
          <w:lang w:val="sr-Latn-CS"/>
        </w:rPr>
        <w:t xml:space="preserve">. </w:t>
      </w:r>
    </w:p>
    <w:p w:rsidR="00957AD0" w:rsidRPr="002A0BEE" w:rsidRDefault="00957AD0" w:rsidP="00AF2D20">
      <w:pPr>
        <w:jc w:val="both"/>
        <w:rPr>
          <w:rFonts w:asciiTheme="majorHAnsi" w:hAnsiTheme="majorHAnsi" w:cstheme="minorHAnsi"/>
          <w:szCs w:val="24"/>
          <w:lang w:val="sr-Latn-CS"/>
        </w:rPr>
      </w:pPr>
      <w:r w:rsidRPr="002A0BEE">
        <w:rPr>
          <w:rFonts w:asciiTheme="majorHAnsi" w:hAnsiTheme="majorHAnsi" w:cstheme="minorHAnsi"/>
          <w:b/>
          <w:szCs w:val="24"/>
          <w:u w:val="single"/>
          <w:lang w:val="sr-Latn-CS"/>
        </w:rPr>
        <w:t xml:space="preserve">Petrografska ispitivanja </w:t>
      </w:r>
      <w:r w:rsidRPr="002A0BEE">
        <w:rPr>
          <w:rFonts w:asciiTheme="majorHAnsi" w:hAnsiTheme="majorHAnsi" w:cstheme="minorHAnsi"/>
          <w:szCs w:val="24"/>
          <w:lang w:val="sr-Latn-CS"/>
        </w:rPr>
        <w:t xml:space="preserve">obavljena su u “Geoinstitutu” </w:t>
      </w:r>
      <w:r w:rsidR="007F728E"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Beograd (1977.). Za izradu preparata uzeta su po dva uzorka iz paketa krečnjaka kalcirudita (</w:t>
      </w:r>
      <w:r w:rsidRPr="002A0BEE">
        <w:rPr>
          <w:rFonts w:asciiTheme="majorHAnsi" w:hAnsiTheme="majorHAnsi" w:cstheme="minorHAnsi"/>
          <w:szCs w:val="24"/>
          <w:vertAlign w:val="superscript"/>
          <w:lang w:val="sr-Latn-CS"/>
        </w:rPr>
        <w:t>1</w:t>
      </w:r>
      <w:r w:rsidRPr="002A0BEE">
        <w:rPr>
          <w:rFonts w:asciiTheme="majorHAnsi" w:hAnsiTheme="majorHAnsi" w:cstheme="minorHAnsi"/>
          <w:szCs w:val="24"/>
          <w:vertAlign w:val="subscript"/>
          <w:lang w:val="sr-Latn-CS"/>
        </w:rPr>
        <w:t>4</w:t>
      </w:r>
      <w:r w:rsidRPr="002A0BEE">
        <w:rPr>
          <w:rFonts w:asciiTheme="majorHAnsi" w:hAnsiTheme="majorHAnsi" w:cstheme="minorHAnsi"/>
          <w:szCs w:val="24"/>
          <w:lang w:val="sr-Latn-CS"/>
        </w:rPr>
        <w:t>K</w:t>
      </w:r>
      <w:r w:rsidRPr="002A0BEE">
        <w:rPr>
          <w:rFonts w:asciiTheme="majorHAnsi" w:hAnsiTheme="majorHAnsi" w:cstheme="minorHAnsi"/>
          <w:szCs w:val="24"/>
          <w:vertAlign w:val="subscript"/>
          <w:lang w:val="sr-Latn-CS"/>
        </w:rPr>
        <w:t>2</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i kalkarenita (</w:t>
      </w:r>
      <w:r w:rsidRPr="002A0BEE">
        <w:rPr>
          <w:rFonts w:asciiTheme="majorHAnsi" w:hAnsiTheme="majorHAnsi" w:cstheme="minorHAnsi"/>
          <w:szCs w:val="24"/>
          <w:vertAlign w:val="superscript"/>
          <w:lang w:val="sr-Latn-CS"/>
        </w:rPr>
        <w:t>2</w:t>
      </w:r>
      <w:r w:rsidRPr="002A0BEE">
        <w:rPr>
          <w:rFonts w:asciiTheme="majorHAnsi" w:hAnsiTheme="majorHAnsi" w:cstheme="minorHAnsi"/>
          <w:szCs w:val="24"/>
          <w:vertAlign w:val="subscript"/>
          <w:lang w:val="sr-Latn-CS"/>
        </w:rPr>
        <w:t>4</w:t>
      </w:r>
      <w:r w:rsidRPr="002A0BEE">
        <w:rPr>
          <w:rFonts w:asciiTheme="majorHAnsi" w:hAnsiTheme="majorHAnsi" w:cstheme="minorHAnsi"/>
          <w:szCs w:val="24"/>
          <w:lang w:val="sr-Latn-CS"/>
        </w:rPr>
        <w:t>K</w:t>
      </w:r>
      <w:r w:rsidRPr="002A0BEE">
        <w:rPr>
          <w:rFonts w:asciiTheme="majorHAnsi" w:hAnsiTheme="majorHAnsi" w:cstheme="minorHAnsi"/>
          <w:szCs w:val="24"/>
          <w:vertAlign w:val="subscript"/>
          <w:lang w:val="sr-Latn-CS"/>
        </w:rPr>
        <w:t>2</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w:t>
      </w:r>
    </w:p>
    <w:p w:rsidR="00957AD0" w:rsidRPr="002A0BEE" w:rsidRDefault="00957AD0" w:rsidP="00AF2D20">
      <w:pPr>
        <w:jc w:val="both"/>
        <w:rPr>
          <w:rFonts w:asciiTheme="majorHAnsi" w:hAnsiTheme="majorHAnsi" w:cstheme="minorHAnsi"/>
          <w:szCs w:val="24"/>
          <w:lang w:val="sr-Latn-CS"/>
        </w:rPr>
      </w:pPr>
      <w:r w:rsidRPr="002A0BEE">
        <w:rPr>
          <w:rFonts w:asciiTheme="majorHAnsi" w:hAnsiTheme="majorHAnsi" w:cstheme="minorHAnsi"/>
          <w:szCs w:val="24"/>
          <w:lang w:val="sr-Latn-CS"/>
        </w:rPr>
        <w:t>Petrografska analiza kreč</w:t>
      </w:r>
      <w:r w:rsidR="00A40E54" w:rsidRPr="002A0BEE">
        <w:rPr>
          <w:rFonts w:asciiTheme="majorHAnsi" w:hAnsiTheme="majorHAnsi" w:cstheme="minorHAnsi"/>
          <w:szCs w:val="24"/>
          <w:lang w:val="sr-Latn-CS"/>
        </w:rPr>
        <w:t>njaka-</w:t>
      </w:r>
      <w:r w:rsidRPr="002A0BEE">
        <w:rPr>
          <w:rFonts w:asciiTheme="majorHAnsi" w:hAnsiTheme="majorHAnsi" w:cstheme="minorHAnsi"/>
          <w:szCs w:val="24"/>
          <w:lang w:val="sr-Latn-CS"/>
        </w:rPr>
        <w:t>kalcirudita (</w:t>
      </w:r>
      <w:r w:rsidRPr="002A0BEE">
        <w:rPr>
          <w:rFonts w:asciiTheme="majorHAnsi" w:hAnsiTheme="majorHAnsi" w:cstheme="minorHAnsi"/>
          <w:szCs w:val="24"/>
          <w:vertAlign w:val="superscript"/>
          <w:lang w:val="sr-Latn-CS"/>
        </w:rPr>
        <w:t>1</w:t>
      </w:r>
      <w:r w:rsidRPr="002A0BEE">
        <w:rPr>
          <w:rFonts w:asciiTheme="majorHAnsi" w:hAnsiTheme="majorHAnsi" w:cstheme="minorHAnsi"/>
          <w:szCs w:val="24"/>
          <w:vertAlign w:val="subscript"/>
          <w:lang w:val="sr-Latn-CS"/>
        </w:rPr>
        <w:t>4</w:t>
      </w:r>
      <w:r w:rsidRPr="002A0BEE">
        <w:rPr>
          <w:rFonts w:asciiTheme="majorHAnsi" w:hAnsiTheme="majorHAnsi" w:cstheme="minorHAnsi"/>
          <w:szCs w:val="24"/>
          <w:lang w:val="sr-Latn-CS"/>
        </w:rPr>
        <w:t>K</w:t>
      </w:r>
      <w:r w:rsidRPr="002A0BEE">
        <w:rPr>
          <w:rFonts w:asciiTheme="majorHAnsi" w:hAnsiTheme="majorHAnsi" w:cstheme="minorHAnsi"/>
          <w:szCs w:val="24"/>
          <w:vertAlign w:val="subscript"/>
          <w:lang w:val="sr-Latn-CS"/>
        </w:rPr>
        <w:t>2</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pokazuje da je stijena izgrađena od krupnih (do 1cm) zaobljenih interklasta i krupnih polomljenih fosilnih ostataka. </w:t>
      </w:r>
    </w:p>
    <w:p w:rsidR="00957AD0" w:rsidRPr="002A0BEE" w:rsidRDefault="00957AD0" w:rsidP="00AF2D20">
      <w:pPr>
        <w:jc w:val="both"/>
        <w:rPr>
          <w:rFonts w:asciiTheme="majorHAnsi" w:hAnsiTheme="majorHAnsi" w:cstheme="minorHAnsi"/>
          <w:szCs w:val="24"/>
          <w:lang w:val="sr-Latn-CS"/>
        </w:rPr>
      </w:pPr>
      <w:r w:rsidRPr="002A0BEE">
        <w:rPr>
          <w:rFonts w:asciiTheme="majorHAnsi" w:hAnsiTheme="majorHAnsi" w:cstheme="minorHAnsi"/>
          <w:szCs w:val="24"/>
          <w:lang w:val="sr-Latn-CS"/>
        </w:rPr>
        <w:t>Petrografska analiza kreč</w:t>
      </w:r>
      <w:r w:rsidR="00A40E54" w:rsidRPr="002A0BEE">
        <w:rPr>
          <w:rFonts w:asciiTheme="majorHAnsi" w:hAnsiTheme="majorHAnsi" w:cstheme="minorHAnsi"/>
          <w:szCs w:val="24"/>
          <w:lang w:val="sr-Latn-CS"/>
        </w:rPr>
        <w:t>njaka-</w:t>
      </w:r>
      <w:r w:rsidRPr="002A0BEE">
        <w:rPr>
          <w:rFonts w:asciiTheme="majorHAnsi" w:hAnsiTheme="majorHAnsi" w:cstheme="minorHAnsi"/>
          <w:szCs w:val="24"/>
          <w:lang w:val="sr-Latn-CS"/>
        </w:rPr>
        <w:t>kalkarenit (</w:t>
      </w:r>
      <w:r w:rsidRPr="002A0BEE">
        <w:rPr>
          <w:rFonts w:asciiTheme="majorHAnsi" w:hAnsiTheme="majorHAnsi" w:cstheme="minorHAnsi"/>
          <w:szCs w:val="24"/>
          <w:vertAlign w:val="superscript"/>
          <w:lang w:val="sr-Latn-CS"/>
        </w:rPr>
        <w:t>2</w:t>
      </w:r>
      <w:r w:rsidRPr="002A0BEE">
        <w:rPr>
          <w:rFonts w:asciiTheme="majorHAnsi" w:hAnsiTheme="majorHAnsi" w:cstheme="minorHAnsi"/>
          <w:szCs w:val="24"/>
          <w:vertAlign w:val="subscript"/>
          <w:lang w:val="sr-Latn-CS"/>
        </w:rPr>
        <w:t>4</w:t>
      </w:r>
      <w:r w:rsidRPr="002A0BEE">
        <w:rPr>
          <w:rFonts w:asciiTheme="majorHAnsi" w:hAnsiTheme="majorHAnsi" w:cstheme="minorHAnsi"/>
          <w:szCs w:val="24"/>
          <w:lang w:val="sr-Latn-CS"/>
        </w:rPr>
        <w:t>K</w:t>
      </w:r>
      <w:r w:rsidRPr="002A0BEE">
        <w:rPr>
          <w:rFonts w:asciiTheme="majorHAnsi" w:hAnsiTheme="majorHAnsi" w:cstheme="minorHAnsi"/>
          <w:szCs w:val="24"/>
          <w:vertAlign w:val="subscript"/>
          <w:lang w:val="sr-Latn-CS"/>
        </w:rPr>
        <w:t>2</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pokazuje da je stijena izgrađena od pelitomorfne mikritske materije koja je rekristakisala u mikro</w:t>
      </w:r>
      <w:r w:rsidR="0080508D" w:rsidRPr="002A0BEE">
        <w:rPr>
          <w:rFonts w:asciiTheme="majorHAnsi" w:hAnsiTheme="majorHAnsi" w:cstheme="minorHAnsi"/>
          <w:szCs w:val="24"/>
          <w:lang w:val="sr-Latn-CS"/>
        </w:rPr>
        <w:t>sparit i sparikalcit</w:t>
      </w:r>
      <w:r w:rsidRPr="002A0BEE">
        <w:rPr>
          <w:rFonts w:asciiTheme="majorHAnsi" w:hAnsiTheme="majorHAnsi" w:cstheme="minorHAnsi"/>
          <w:szCs w:val="24"/>
          <w:lang w:val="sr-Latn-CS"/>
        </w:rPr>
        <w:t>. U stijeni su zapažena i pojedinačna zrna Fe minerala i kvarca.</w:t>
      </w:r>
    </w:p>
    <w:p w:rsidR="00957AD0" w:rsidRPr="002A0BEE" w:rsidRDefault="00957AD0" w:rsidP="00AF2D20">
      <w:pPr>
        <w:jc w:val="both"/>
        <w:rPr>
          <w:rFonts w:asciiTheme="majorHAnsi" w:hAnsiTheme="majorHAnsi" w:cstheme="minorHAnsi"/>
          <w:color w:val="000000"/>
          <w:szCs w:val="24"/>
          <w:lang w:val="sr-Latn-CS"/>
        </w:rPr>
      </w:pPr>
      <w:r w:rsidRPr="002A0BEE">
        <w:rPr>
          <w:rFonts w:asciiTheme="majorHAnsi" w:hAnsiTheme="majorHAnsi" w:cstheme="minorHAnsi"/>
          <w:b/>
          <w:szCs w:val="24"/>
          <w:u w:val="single"/>
          <w:lang w:val="sr-Latn-CS"/>
        </w:rPr>
        <w:t>Ispitivanja fizičko-mehaničkih svojstava krečnjaka</w:t>
      </w:r>
      <w:r w:rsidRPr="002A0BEE">
        <w:rPr>
          <w:rFonts w:asciiTheme="majorHAnsi" w:hAnsiTheme="majorHAnsi" w:cstheme="minorHAnsi"/>
          <w:szCs w:val="24"/>
          <w:lang w:val="sr-Latn-CS"/>
        </w:rPr>
        <w:t>, iz ležišta “Visočica”</w:t>
      </w:r>
      <w:r w:rsidR="0080508D" w:rsidRPr="002A0BEE">
        <w:rPr>
          <w:rFonts w:asciiTheme="majorHAnsi" w:hAnsiTheme="majorHAnsi" w:cstheme="minorHAnsi"/>
          <w:szCs w:val="24"/>
          <w:lang w:val="sr-Latn-CS"/>
        </w:rPr>
        <w:t xml:space="preserve"> rađena su u viš</w:t>
      </w:r>
      <w:r w:rsidRPr="002A0BEE">
        <w:rPr>
          <w:rFonts w:asciiTheme="majorHAnsi" w:hAnsiTheme="majorHAnsi" w:cstheme="minorHAnsi"/>
          <w:szCs w:val="24"/>
          <w:lang w:val="sr-Latn-CS"/>
        </w:rPr>
        <w:t>e navrata</w:t>
      </w:r>
      <w:r w:rsidR="0080508D"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u period</w:t>
      </w:r>
      <w:r w:rsidR="0080508D" w:rsidRPr="002A0BEE">
        <w:rPr>
          <w:rFonts w:asciiTheme="majorHAnsi" w:hAnsiTheme="majorHAnsi" w:cstheme="minorHAnsi"/>
          <w:szCs w:val="24"/>
          <w:lang w:val="sr-Latn-CS"/>
        </w:rPr>
        <w:t xml:space="preserve">u od 1974. </w:t>
      </w:r>
      <w:r w:rsidRPr="002A0BEE">
        <w:rPr>
          <w:rFonts w:asciiTheme="majorHAnsi" w:hAnsiTheme="majorHAnsi" w:cstheme="minorHAnsi"/>
          <w:szCs w:val="24"/>
          <w:lang w:val="sr-Latn-CS"/>
        </w:rPr>
        <w:t>godine pa do 2012</w:t>
      </w:r>
      <w:r w:rsidR="0080508D"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w:t>
      </w:r>
      <w:r w:rsidR="0080508D" w:rsidRPr="002A0BEE">
        <w:rPr>
          <w:rFonts w:asciiTheme="majorHAnsi" w:hAnsiTheme="majorHAnsi" w:cstheme="minorHAnsi"/>
          <w:szCs w:val="24"/>
          <w:lang w:val="sr-Latn-CS"/>
        </w:rPr>
        <w:t>g</w:t>
      </w:r>
      <w:r w:rsidRPr="002A0BEE">
        <w:rPr>
          <w:rFonts w:asciiTheme="majorHAnsi" w:hAnsiTheme="majorHAnsi" w:cstheme="minorHAnsi"/>
          <w:szCs w:val="24"/>
          <w:lang w:val="sr-Latn-CS"/>
        </w:rPr>
        <w:t>odine</w:t>
      </w:r>
      <w:r w:rsidR="0080508D" w:rsidRPr="002A0BEE">
        <w:rPr>
          <w:rFonts w:asciiTheme="majorHAnsi" w:hAnsiTheme="majorHAnsi" w:cstheme="minorHAnsi"/>
          <w:szCs w:val="24"/>
          <w:lang w:val="sr-Latn-CS"/>
        </w:rPr>
        <w:t>,</w:t>
      </w:r>
      <w:r w:rsidRPr="002A0BEE">
        <w:rPr>
          <w:rFonts w:asciiTheme="majorHAnsi" w:hAnsiTheme="majorHAnsi" w:cstheme="minorHAnsi"/>
          <w:szCs w:val="24"/>
          <w:lang w:val="sr-Latn-CS"/>
        </w:rPr>
        <w:t xml:space="preserve"> na izv</w:t>
      </w:r>
      <w:r w:rsidR="0080508D" w:rsidRPr="002A0BEE">
        <w:rPr>
          <w:rFonts w:asciiTheme="majorHAnsi" w:hAnsiTheme="majorHAnsi" w:cstheme="minorHAnsi"/>
          <w:szCs w:val="24"/>
          <w:lang w:val="sr-Latn-CS"/>
        </w:rPr>
        <w:t>a</w:t>
      </w:r>
      <w:r w:rsidRPr="002A0BEE">
        <w:rPr>
          <w:rFonts w:asciiTheme="majorHAnsi" w:hAnsiTheme="majorHAnsi" w:cstheme="minorHAnsi"/>
          <w:szCs w:val="24"/>
          <w:lang w:val="sr-Latn-CS"/>
        </w:rPr>
        <w:t xml:space="preserve">đenim monolitnim uzorcima iz </w:t>
      </w:r>
      <w:r w:rsidR="0080508D" w:rsidRPr="002A0BEE">
        <w:rPr>
          <w:rFonts w:asciiTheme="majorHAnsi" w:hAnsiTheme="majorHAnsi" w:cstheme="minorHAnsi"/>
          <w:szCs w:val="24"/>
          <w:lang w:val="sr-Latn-CS"/>
        </w:rPr>
        <w:t xml:space="preserve">ležišta, </w:t>
      </w:r>
      <w:r w:rsidRPr="002A0BEE">
        <w:rPr>
          <w:rFonts w:asciiTheme="majorHAnsi" w:hAnsiTheme="majorHAnsi" w:cstheme="minorHAnsi"/>
          <w:szCs w:val="24"/>
          <w:lang w:val="sr-Latn-CS"/>
        </w:rPr>
        <w:t>frakcionisanim kamenim agregatima i kamenom brašnu. Ispitivanja su izvođena u Institutu za ispitivanje građevin</w:t>
      </w:r>
      <w:r w:rsidR="0080508D" w:rsidRPr="002A0BEE">
        <w:rPr>
          <w:rFonts w:asciiTheme="majorHAnsi" w:hAnsiTheme="majorHAnsi" w:cstheme="minorHAnsi"/>
          <w:szCs w:val="24"/>
          <w:lang w:val="sr-Latn-CS"/>
        </w:rPr>
        <w:t xml:space="preserve">skih materijala </w:t>
      </w:r>
      <w:r w:rsidR="000752C4" w:rsidRPr="002A0BEE">
        <w:rPr>
          <w:rFonts w:asciiTheme="majorHAnsi" w:hAnsiTheme="majorHAnsi" w:cstheme="minorHAnsi"/>
          <w:szCs w:val="24"/>
          <w:lang w:val="sr-Latn-CS"/>
        </w:rPr>
        <w:t>–</w:t>
      </w:r>
      <w:r w:rsidR="0080508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xml:space="preserve">Beograd, </w:t>
      </w:r>
      <w:r w:rsidR="0080508D" w:rsidRPr="002A0BEE">
        <w:rPr>
          <w:rFonts w:asciiTheme="majorHAnsi" w:hAnsiTheme="majorHAnsi" w:cstheme="minorHAnsi"/>
          <w:szCs w:val="24"/>
          <w:lang w:val="sr-Latn-CS"/>
        </w:rPr>
        <w:t xml:space="preserve">na Građevinskom fakultetu – Podgorica i u </w:t>
      </w:r>
      <w:r w:rsidRPr="002A0BEE">
        <w:rPr>
          <w:rFonts w:asciiTheme="majorHAnsi" w:hAnsiTheme="majorHAnsi" w:cstheme="minorHAnsi"/>
          <w:szCs w:val="24"/>
          <w:lang w:val="sr-Latn-CS"/>
        </w:rPr>
        <w:t>Zavod</w:t>
      </w:r>
      <w:r w:rsidR="0080508D" w:rsidRPr="002A0BEE">
        <w:rPr>
          <w:rFonts w:asciiTheme="majorHAnsi" w:hAnsiTheme="majorHAnsi" w:cstheme="minorHAnsi"/>
          <w:szCs w:val="24"/>
          <w:lang w:val="sr-Latn-CS"/>
        </w:rPr>
        <w:t>u</w:t>
      </w:r>
      <w:r w:rsidRPr="002A0BEE">
        <w:rPr>
          <w:rFonts w:asciiTheme="majorHAnsi" w:hAnsiTheme="majorHAnsi" w:cstheme="minorHAnsi"/>
          <w:szCs w:val="24"/>
          <w:lang w:val="sr-Latn-CS"/>
        </w:rPr>
        <w:t xml:space="preserve"> za ispit</w:t>
      </w:r>
      <w:r w:rsidR="0080508D" w:rsidRPr="002A0BEE">
        <w:rPr>
          <w:rFonts w:asciiTheme="majorHAnsi" w:hAnsiTheme="majorHAnsi" w:cstheme="minorHAnsi"/>
          <w:szCs w:val="24"/>
          <w:lang w:val="sr-Latn-CS"/>
        </w:rPr>
        <w:t>ivanje građevinskih materijala – Nikšić.</w:t>
      </w:r>
      <w:r w:rsidR="0080508D" w:rsidRPr="002A0BEE">
        <w:rPr>
          <w:rFonts w:asciiTheme="majorHAnsi" w:hAnsiTheme="majorHAnsi" w:cstheme="minorHAnsi"/>
          <w:color w:val="000000"/>
          <w:szCs w:val="24"/>
          <w:lang w:val="sr-Latn-CS"/>
        </w:rPr>
        <w:t xml:space="preserve"> </w:t>
      </w:r>
    </w:p>
    <w:p w:rsidR="00957AD0" w:rsidRPr="002A0BEE" w:rsidRDefault="00957AD0" w:rsidP="00AF2D20">
      <w:pPr>
        <w:pStyle w:val="ListParagraph"/>
        <w:numPr>
          <w:ilvl w:val="2"/>
          <w:numId w:val="9"/>
        </w:numPr>
        <w:contextualSpacing w:val="0"/>
        <w:rPr>
          <w:rFonts w:asciiTheme="majorHAnsi" w:hAnsiTheme="majorHAnsi" w:cstheme="minorHAnsi"/>
          <w:b/>
          <w:szCs w:val="24"/>
          <w:lang w:val="sr-Latn-CS"/>
        </w:rPr>
      </w:pPr>
      <w:r w:rsidRPr="002A0BEE">
        <w:rPr>
          <w:rFonts w:asciiTheme="majorHAnsi" w:hAnsiTheme="majorHAnsi" w:cstheme="minorHAnsi"/>
          <w:b/>
          <w:szCs w:val="24"/>
          <w:lang w:val="sr-Latn-CS"/>
        </w:rPr>
        <w:t>Ocjena kvaliteta mineralne sirovine/krečnjaka i mogućnost njene valorizacije.</w:t>
      </w:r>
    </w:p>
    <w:p w:rsidR="00957AD0" w:rsidRPr="002A0BEE" w:rsidRDefault="00957AD0" w:rsidP="00AF2D20">
      <w:pPr>
        <w:pStyle w:val="ListParagraph"/>
        <w:ind w:left="0"/>
        <w:contextualSpacing w:val="0"/>
        <w:jc w:val="both"/>
        <w:rPr>
          <w:rFonts w:asciiTheme="majorHAnsi" w:hAnsiTheme="majorHAnsi" w:cstheme="minorHAnsi"/>
          <w:color w:val="000000"/>
          <w:szCs w:val="24"/>
          <w:lang w:val="sr-Latn-CS"/>
        </w:rPr>
      </w:pPr>
      <w:r w:rsidRPr="002A0BEE">
        <w:rPr>
          <w:rFonts w:asciiTheme="majorHAnsi" w:hAnsiTheme="majorHAnsi" w:cstheme="minorHAnsi"/>
          <w:color w:val="000000"/>
          <w:szCs w:val="24"/>
          <w:lang w:val="sr-Latn-CS"/>
        </w:rPr>
        <w:t>Na osnovu utvđenog hemijskog sastava, minerološko-petrografskih i fizičko-mehaničkih svojstava stijenske mase i proizvedenih agregata i kreča, a shodno standardima</w:t>
      </w:r>
      <w:r w:rsidR="0080508D" w:rsidRPr="002A0BEE">
        <w:rPr>
          <w:rFonts w:asciiTheme="majorHAnsi" w:hAnsiTheme="majorHAnsi" w:cstheme="minorHAnsi"/>
          <w:color w:val="000000"/>
          <w:szCs w:val="24"/>
          <w:lang w:val="sr-Latn-CS"/>
        </w:rPr>
        <w:t>,</w:t>
      </w:r>
      <w:r w:rsidRPr="002A0BEE">
        <w:rPr>
          <w:rFonts w:asciiTheme="majorHAnsi" w:hAnsiTheme="majorHAnsi" w:cstheme="minorHAnsi"/>
          <w:color w:val="000000"/>
          <w:szCs w:val="24"/>
          <w:lang w:val="sr-Latn-CS"/>
        </w:rPr>
        <w:t xml:space="preserve"> krečnjak ležišta „Visočice“ svrstan je u kvalitetnu mineralnu sirovinu, koja se može koristiti kao</w:t>
      </w:r>
      <w:r w:rsidR="0080508D" w:rsidRPr="002A0BEE">
        <w:rPr>
          <w:rFonts w:asciiTheme="majorHAnsi" w:hAnsiTheme="majorHAnsi" w:cstheme="minorHAnsi"/>
          <w:color w:val="000000"/>
          <w:szCs w:val="24"/>
          <w:lang w:val="sr-Latn-CS"/>
        </w:rPr>
        <w:t xml:space="preserve"> tehničko-građevinski kamen i kao arhitektonsko-građevinski kamen:</w:t>
      </w:r>
    </w:p>
    <w:p w:rsidR="00957AD0" w:rsidRPr="002A0BEE" w:rsidRDefault="00957AD0" w:rsidP="0055031D">
      <w:pPr>
        <w:pStyle w:val="ListParagraph"/>
        <w:numPr>
          <w:ilvl w:val="0"/>
          <w:numId w:val="35"/>
        </w:numPr>
        <w:contextualSpacing w:val="0"/>
        <w:jc w:val="both"/>
        <w:rPr>
          <w:rFonts w:asciiTheme="majorHAnsi" w:hAnsiTheme="majorHAnsi" w:cstheme="minorHAnsi"/>
          <w:b/>
          <w:i/>
          <w:szCs w:val="24"/>
          <w:lang w:val="sr-Latn-CS"/>
        </w:rPr>
      </w:pPr>
      <w:r w:rsidRPr="002A0BEE">
        <w:rPr>
          <w:rFonts w:asciiTheme="majorHAnsi" w:hAnsiTheme="majorHAnsi" w:cstheme="minorHAnsi"/>
          <w:b/>
          <w:i/>
          <w:szCs w:val="24"/>
          <w:u w:val="single"/>
          <w:lang w:val="sr-Latn-CS"/>
        </w:rPr>
        <w:t>Kao tehnički–građevinski kamen (TGK):</w:t>
      </w:r>
    </w:p>
    <w:p w:rsidR="00957AD0" w:rsidRPr="002A0BEE" w:rsidRDefault="00957AD0" w:rsidP="002E447F">
      <w:pPr>
        <w:spacing w:after="0"/>
        <w:ind w:left="851" w:hanging="284"/>
        <w:jc w:val="both"/>
        <w:rPr>
          <w:rFonts w:asciiTheme="majorHAnsi" w:hAnsiTheme="majorHAnsi" w:cstheme="minorHAnsi"/>
          <w:szCs w:val="24"/>
          <w:lang w:val="sr-Latn-CS"/>
        </w:rPr>
      </w:pPr>
      <w:r w:rsidRPr="002A0BEE">
        <w:rPr>
          <w:rFonts w:asciiTheme="majorHAnsi" w:hAnsiTheme="majorHAnsi" w:cstheme="minorHAnsi"/>
          <w:szCs w:val="24"/>
          <w:lang w:val="sr-Latn-CS"/>
        </w:rPr>
        <w:t>-</w:t>
      </w:r>
      <w:r w:rsidR="000752C4"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za proizvodnju,</w:t>
      </w:r>
      <w:r w:rsidR="0080508D" w:rsidRPr="002A0BEE">
        <w:rPr>
          <w:rFonts w:asciiTheme="majorHAnsi" w:hAnsiTheme="majorHAnsi" w:cstheme="minorHAnsi"/>
          <w:szCs w:val="24"/>
          <w:lang w:val="sr-Latn-CS"/>
        </w:rPr>
        <w:t xml:space="preserve"> sistemom drobljenja, </w:t>
      </w:r>
      <w:r w:rsidRPr="002A0BEE">
        <w:rPr>
          <w:rFonts w:asciiTheme="majorHAnsi" w:hAnsiTheme="majorHAnsi" w:cstheme="minorHAnsi"/>
          <w:szCs w:val="24"/>
          <w:lang w:val="sr-Latn-CS"/>
        </w:rPr>
        <w:t>frakcionih agregata, koji se mogu koristiti u građevinarstvu z</w:t>
      </w:r>
      <w:r w:rsidR="0080508D" w:rsidRPr="002A0BEE">
        <w:rPr>
          <w:rFonts w:asciiTheme="majorHAnsi" w:hAnsiTheme="majorHAnsi" w:cstheme="minorHAnsi"/>
          <w:szCs w:val="24"/>
          <w:lang w:val="sr-Latn-CS"/>
        </w:rPr>
        <w:t>a spravljanje: cementnih betona</w:t>
      </w:r>
      <w:r w:rsidRPr="002A0BEE">
        <w:rPr>
          <w:rFonts w:asciiTheme="majorHAnsi" w:hAnsiTheme="majorHAnsi" w:cstheme="minorHAnsi"/>
          <w:szCs w:val="24"/>
          <w:lang w:val="sr-Latn-CS"/>
        </w:rPr>
        <w:t>, maltera i bituminoznih mješavina;</w:t>
      </w:r>
    </w:p>
    <w:p w:rsidR="00957AD0" w:rsidRPr="002A0BEE" w:rsidRDefault="0080508D" w:rsidP="002E447F">
      <w:pPr>
        <w:spacing w:after="0"/>
        <w:ind w:left="851" w:hanging="284"/>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za proizvodnju, </w:t>
      </w:r>
      <w:r w:rsidR="00957AD0" w:rsidRPr="002A0BEE">
        <w:rPr>
          <w:rFonts w:asciiTheme="majorHAnsi" w:hAnsiTheme="majorHAnsi" w:cstheme="minorHAnsi"/>
          <w:szCs w:val="24"/>
          <w:lang w:val="sr-Latn-CS"/>
        </w:rPr>
        <w:t>mljevenjem od agregata kamenog brašna, koje se može koristiti u industriji: građevinarstva, boja i lakova, polimera, hartije,</w:t>
      </w:r>
      <w:r w:rsidRPr="002A0BEE">
        <w:rPr>
          <w:rFonts w:asciiTheme="majorHAnsi" w:hAnsiTheme="majorHAnsi" w:cstheme="minorHAnsi"/>
          <w:szCs w:val="24"/>
          <w:lang w:val="sr-Latn-CS"/>
        </w:rPr>
        <w:t xml:space="preserve"> </w:t>
      </w:r>
      <w:r w:rsidR="00957AD0" w:rsidRPr="002A0BEE">
        <w:rPr>
          <w:rFonts w:asciiTheme="majorHAnsi" w:hAnsiTheme="majorHAnsi" w:cstheme="minorHAnsi"/>
          <w:szCs w:val="24"/>
          <w:lang w:val="sr-Latn-CS"/>
        </w:rPr>
        <w:t xml:space="preserve">stakla, abrazivnih </w:t>
      </w:r>
      <w:r w:rsidR="00957AD0" w:rsidRPr="002A0BEE">
        <w:rPr>
          <w:rFonts w:asciiTheme="majorHAnsi" w:hAnsiTheme="majorHAnsi" w:cstheme="minorHAnsi"/>
          <w:szCs w:val="24"/>
          <w:lang w:val="sr-Latn-CS"/>
        </w:rPr>
        <w:lastRenderedPageBreak/>
        <w:t xml:space="preserve">sredstava, hrane, </w:t>
      </w:r>
      <w:r w:rsidRPr="002A0BEE">
        <w:rPr>
          <w:rFonts w:asciiTheme="majorHAnsi" w:hAnsiTheme="majorHAnsi" w:cstheme="minorHAnsi"/>
          <w:szCs w:val="24"/>
          <w:lang w:val="sr-Latn-CS"/>
        </w:rPr>
        <w:t xml:space="preserve">u </w:t>
      </w:r>
      <w:r w:rsidR="00957AD0" w:rsidRPr="002A0BEE">
        <w:rPr>
          <w:rFonts w:asciiTheme="majorHAnsi" w:hAnsiTheme="majorHAnsi" w:cstheme="minorHAnsi"/>
          <w:szCs w:val="24"/>
          <w:lang w:val="sr-Latn-CS"/>
        </w:rPr>
        <w:t>farmaceutsk</w:t>
      </w:r>
      <w:r w:rsidRPr="002A0BEE">
        <w:rPr>
          <w:rFonts w:asciiTheme="majorHAnsi" w:hAnsiTheme="majorHAnsi" w:cstheme="minorHAnsi"/>
          <w:szCs w:val="24"/>
          <w:lang w:val="sr-Latn-CS"/>
        </w:rPr>
        <w:t>oj industriji i dr. Treba istaći</w:t>
      </w:r>
      <w:r w:rsidR="00957AD0" w:rsidRPr="002A0BEE">
        <w:rPr>
          <w:rFonts w:asciiTheme="majorHAnsi" w:hAnsiTheme="majorHAnsi" w:cstheme="minorHAnsi"/>
          <w:szCs w:val="24"/>
          <w:lang w:val="sr-Latn-CS"/>
        </w:rPr>
        <w:t xml:space="preserve"> da su utvrđeni hemijski sastav i fizičko-mehanička svojstava svrstali krečnjake ležišta „Visočice“ u sirovinu</w:t>
      </w:r>
      <w:r w:rsidRPr="002A0BEE">
        <w:rPr>
          <w:rFonts w:asciiTheme="majorHAnsi" w:hAnsiTheme="majorHAnsi" w:cstheme="minorHAnsi"/>
          <w:szCs w:val="24"/>
          <w:lang w:val="sr-Latn-CS"/>
        </w:rPr>
        <w:t xml:space="preserve"> prve klase</w:t>
      </w:r>
      <w:r w:rsidR="00957AD0" w:rsidRPr="002A0BEE">
        <w:rPr>
          <w:rFonts w:asciiTheme="majorHAnsi" w:hAnsiTheme="majorHAnsi" w:cstheme="minorHAnsi"/>
          <w:szCs w:val="24"/>
          <w:lang w:val="sr-Latn-CS"/>
        </w:rPr>
        <w:t>, iz koje se mogu proizvod</w:t>
      </w:r>
      <w:r w:rsidRPr="002A0BEE">
        <w:rPr>
          <w:rFonts w:asciiTheme="majorHAnsi" w:hAnsiTheme="majorHAnsi" w:cstheme="minorHAnsi"/>
          <w:szCs w:val="24"/>
          <w:lang w:val="sr-Latn-CS"/>
        </w:rPr>
        <w:t>iti</w:t>
      </w:r>
      <w:r w:rsidR="00957AD0" w:rsidRPr="002A0BEE">
        <w:rPr>
          <w:rFonts w:asciiTheme="majorHAnsi" w:hAnsiTheme="majorHAnsi" w:cstheme="minorHAnsi"/>
          <w:szCs w:val="24"/>
          <w:lang w:val="sr-Latn-CS"/>
        </w:rPr>
        <w:t>, u zavisniosti od finoće mljevenja/veličine čestica, kvalitetna karbonatna brašna koja imaju široku primjenu u navedenim industrijama;</w:t>
      </w:r>
    </w:p>
    <w:p w:rsidR="00957AD0" w:rsidRPr="002A0BEE" w:rsidRDefault="00957AD0" w:rsidP="00AF2D20">
      <w:pPr>
        <w:ind w:left="851" w:hanging="284"/>
        <w:jc w:val="both"/>
        <w:rPr>
          <w:rFonts w:asciiTheme="majorHAnsi" w:hAnsiTheme="majorHAnsi" w:cstheme="minorHAnsi"/>
          <w:szCs w:val="24"/>
          <w:lang w:val="sr-Latn-CS"/>
        </w:rPr>
      </w:pPr>
      <w:r w:rsidRPr="002A0BEE">
        <w:rPr>
          <w:rFonts w:asciiTheme="majorHAnsi" w:hAnsiTheme="majorHAnsi" w:cstheme="minorHAnsi"/>
          <w:szCs w:val="24"/>
          <w:lang w:val="sr-Latn-CS"/>
        </w:rPr>
        <w:t>- za priizvodnju od agregata 35-32mm,</w:t>
      </w:r>
      <w:r w:rsidR="0080508D" w:rsidRPr="002A0BEE">
        <w:rPr>
          <w:rFonts w:asciiTheme="majorHAnsi" w:hAnsiTheme="majorHAnsi" w:cstheme="minorHAnsi"/>
          <w:szCs w:val="24"/>
          <w:lang w:val="sr-Latn-CS"/>
        </w:rPr>
        <w:t xml:space="preserve"> industrijskog, komadnog i hidratisanog visoko </w:t>
      </w:r>
      <w:r w:rsidRPr="002A0BEE">
        <w:rPr>
          <w:rFonts w:asciiTheme="majorHAnsi" w:hAnsiTheme="majorHAnsi" w:cstheme="minorHAnsi"/>
          <w:szCs w:val="24"/>
          <w:lang w:val="sr-Latn-CS"/>
        </w:rPr>
        <w:t>kvalitetnog kreča, kojeg je prizvodila više od 25</w:t>
      </w:r>
      <w:r w:rsidR="0080508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godina Fabrika kreča, čiji objek</w:t>
      </w:r>
      <w:r w:rsidR="0080508D" w:rsidRPr="002A0BEE">
        <w:rPr>
          <w:rFonts w:asciiTheme="majorHAnsi" w:hAnsiTheme="majorHAnsi" w:cstheme="minorHAnsi"/>
          <w:szCs w:val="24"/>
          <w:lang w:val="sr-Latn-CS"/>
        </w:rPr>
        <w:t>ti i postrojenja i sada postoje.</w:t>
      </w:r>
    </w:p>
    <w:p w:rsidR="00957AD0" w:rsidRPr="002A0BEE" w:rsidRDefault="00957AD0" w:rsidP="00AF2D20">
      <w:pPr>
        <w:ind w:left="540"/>
        <w:jc w:val="both"/>
        <w:rPr>
          <w:rFonts w:asciiTheme="majorHAnsi" w:hAnsiTheme="majorHAnsi" w:cstheme="minorHAnsi"/>
          <w:b/>
          <w:i/>
          <w:color w:val="000000"/>
          <w:szCs w:val="24"/>
          <w:u w:val="single"/>
          <w:lang w:val="sr-Latn-CS"/>
        </w:rPr>
      </w:pPr>
      <w:r w:rsidRPr="002A0BEE">
        <w:rPr>
          <w:rFonts w:asciiTheme="majorHAnsi" w:hAnsiTheme="majorHAnsi" w:cstheme="minorHAnsi"/>
          <w:b/>
          <w:i/>
          <w:szCs w:val="24"/>
          <w:lang w:val="sr-Latn-CS"/>
        </w:rPr>
        <w:t>b)</w:t>
      </w:r>
      <w:r w:rsidRPr="002A0BEE">
        <w:rPr>
          <w:rFonts w:asciiTheme="majorHAnsi" w:hAnsiTheme="majorHAnsi" w:cstheme="minorHAnsi"/>
          <w:b/>
          <w:i/>
          <w:color w:val="000000"/>
          <w:szCs w:val="24"/>
          <w:u w:val="single"/>
          <w:lang w:val="sr-Latn-CS"/>
        </w:rPr>
        <w:t xml:space="preserve"> Kao arhitektonsko-građevinski kamen (AGK): </w:t>
      </w:r>
    </w:p>
    <w:p w:rsidR="00957AD0" w:rsidRPr="002A0BEE" w:rsidRDefault="00957AD0" w:rsidP="002E447F">
      <w:pPr>
        <w:spacing w:after="0"/>
        <w:ind w:left="540"/>
        <w:jc w:val="both"/>
        <w:rPr>
          <w:rFonts w:asciiTheme="majorHAnsi" w:hAnsiTheme="majorHAnsi" w:cstheme="minorHAnsi"/>
          <w:szCs w:val="24"/>
          <w:lang w:val="sr-Latn-CS"/>
        </w:rPr>
      </w:pPr>
      <w:r w:rsidRPr="002A0BEE">
        <w:rPr>
          <w:rFonts w:asciiTheme="majorHAnsi" w:hAnsiTheme="majorHAnsi" w:cstheme="minorHAnsi"/>
          <w:szCs w:val="24"/>
          <w:lang w:val="sr-Latn-CS"/>
        </w:rPr>
        <w:t>- za proizvodnju ploča, različitog stepena obrade, za unutraš</w:t>
      </w:r>
      <w:r w:rsidR="0080508D" w:rsidRPr="002A0BEE">
        <w:rPr>
          <w:rFonts w:asciiTheme="majorHAnsi" w:hAnsiTheme="majorHAnsi" w:cstheme="minorHAnsi"/>
          <w:szCs w:val="24"/>
          <w:lang w:val="sr-Latn-CS"/>
        </w:rPr>
        <w:t xml:space="preserve">nja vertikalna i horizontalna </w:t>
      </w:r>
      <w:r w:rsidRPr="002A0BEE">
        <w:rPr>
          <w:rFonts w:asciiTheme="majorHAnsi" w:hAnsiTheme="majorHAnsi" w:cstheme="minorHAnsi"/>
          <w:szCs w:val="24"/>
          <w:lang w:val="sr-Latn-CS"/>
        </w:rPr>
        <w:t>i spoljašnj</w:t>
      </w:r>
      <w:r w:rsidR="00C538A0" w:rsidRPr="002A0BEE">
        <w:rPr>
          <w:rFonts w:asciiTheme="majorHAnsi" w:hAnsiTheme="majorHAnsi" w:cstheme="minorHAnsi"/>
          <w:szCs w:val="24"/>
          <w:lang w:val="sr-Latn-CS"/>
        </w:rPr>
        <w:t>a</w:t>
      </w:r>
      <w:r w:rsidRPr="002A0BEE">
        <w:rPr>
          <w:rFonts w:asciiTheme="majorHAnsi" w:hAnsiTheme="majorHAnsi" w:cstheme="minorHAnsi"/>
          <w:szCs w:val="24"/>
          <w:lang w:val="sr-Latn-CS"/>
        </w:rPr>
        <w:t xml:space="preserve"> vertikalna oblaganja objekata;</w:t>
      </w:r>
    </w:p>
    <w:p w:rsidR="009248F4" w:rsidRPr="002A0BEE" w:rsidRDefault="00957AD0" w:rsidP="00AF2D20">
      <w:pPr>
        <w:ind w:left="540"/>
        <w:contextualSpacing/>
        <w:jc w:val="both"/>
        <w:rPr>
          <w:rFonts w:asciiTheme="majorHAnsi" w:hAnsiTheme="majorHAnsi" w:cstheme="minorHAnsi"/>
          <w:szCs w:val="24"/>
          <w:lang w:val="sr-Latn-CS"/>
        </w:rPr>
      </w:pPr>
      <w:r w:rsidRPr="002A0BEE">
        <w:rPr>
          <w:rFonts w:asciiTheme="majorHAnsi" w:hAnsiTheme="majorHAnsi" w:cstheme="minorHAnsi"/>
          <w:szCs w:val="24"/>
          <w:lang w:val="sr-Latn-CS"/>
        </w:rPr>
        <w:t>- za proizvod</w:t>
      </w:r>
      <w:r w:rsidR="006D21B7" w:rsidRPr="002A0BEE">
        <w:rPr>
          <w:rFonts w:asciiTheme="majorHAnsi" w:hAnsiTheme="majorHAnsi" w:cstheme="minorHAnsi"/>
          <w:szCs w:val="24"/>
          <w:lang w:val="sr-Latn-CS"/>
        </w:rPr>
        <w:t>nju ukrasne i druge galanterije.</w:t>
      </w:r>
    </w:p>
    <w:p w:rsidR="00AF2D20" w:rsidRPr="002A0BEE" w:rsidRDefault="00AF2D20" w:rsidP="00AF2D20">
      <w:pPr>
        <w:ind w:left="540"/>
        <w:contextualSpacing/>
        <w:jc w:val="both"/>
        <w:rPr>
          <w:rFonts w:asciiTheme="majorHAnsi" w:hAnsiTheme="majorHAnsi" w:cstheme="minorHAnsi"/>
          <w:szCs w:val="24"/>
          <w:lang w:val="sr-Latn-CS"/>
        </w:rPr>
      </w:pPr>
    </w:p>
    <w:p w:rsidR="009248F4" w:rsidRPr="002A0BEE" w:rsidRDefault="009248F4" w:rsidP="00AF2D20">
      <w:pPr>
        <w:pStyle w:val="ListParagraph"/>
        <w:numPr>
          <w:ilvl w:val="0"/>
          <w:numId w:val="2"/>
        </w:numPr>
        <w:tabs>
          <w:tab w:val="left" w:pos="270"/>
          <w:tab w:val="left" w:pos="720"/>
        </w:tabs>
        <w:jc w:val="both"/>
        <w:rPr>
          <w:rFonts w:asciiTheme="majorHAnsi" w:eastAsia="Times New Roman" w:hAnsiTheme="majorHAnsi" w:cstheme="minorHAnsi"/>
          <w:b/>
          <w:vanish/>
          <w:szCs w:val="24"/>
          <w:lang w:val="sr-Latn-CS"/>
        </w:rPr>
      </w:pPr>
    </w:p>
    <w:p w:rsidR="009248F4" w:rsidRPr="002A0BEE" w:rsidRDefault="009248F4" w:rsidP="00AF2D20">
      <w:pPr>
        <w:pStyle w:val="ListParagraph"/>
        <w:numPr>
          <w:ilvl w:val="0"/>
          <w:numId w:val="2"/>
        </w:numPr>
        <w:tabs>
          <w:tab w:val="left" w:pos="270"/>
          <w:tab w:val="left" w:pos="720"/>
        </w:tabs>
        <w:jc w:val="both"/>
        <w:rPr>
          <w:rFonts w:asciiTheme="majorHAnsi" w:eastAsia="Times New Roman" w:hAnsiTheme="majorHAnsi" w:cstheme="minorHAnsi"/>
          <w:b/>
          <w:vanish/>
          <w:szCs w:val="24"/>
          <w:lang w:val="sr-Latn-CS"/>
        </w:rPr>
      </w:pPr>
    </w:p>
    <w:p w:rsidR="009248F4" w:rsidRPr="002A0BEE" w:rsidRDefault="009248F4" w:rsidP="00AF2D20">
      <w:pPr>
        <w:pStyle w:val="ListParagraph"/>
        <w:numPr>
          <w:ilvl w:val="0"/>
          <w:numId w:val="2"/>
        </w:numPr>
        <w:tabs>
          <w:tab w:val="left" w:pos="270"/>
          <w:tab w:val="left" w:pos="720"/>
        </w:tabs>
        <w:jc w:val="both"/>
        <w:rPr>
          <w:rFonts w:asciiTheme="majorHAnsi" w:eastAsia="Times New Roman" w:hAnsiTheme="majorHAnsi" w:cstheme="minorHAnsi"/>
          <w:b/>
          <w:vanish/>
          <w:szCs w:val="24"/>
          <w:lang w:val="sr-Latn-CS"/>
        </w:rPr>
      </w:pPr>
    </w:p>
    <w:p w:rsidR="009248F4" w:rsidRPr="002A0BEE" w:rsidRDefault="009248F4" w:rsidP="00AF2D20">
      <w:pPr>
        <w:pStyle w:val="ListParagraph"/>
        <w:numPr>
          <w:ilvl w:val="0"/>
          <w:numId w:val="2"/>
        </w:numPr>
        <w:tabs>
          <w:tab w:val="left" w:pos="270"/>
          <w:tab w:val="left" w:pos="720"/>
        </w:tabs>
        <w:jc w:val="both"/>
        <w:rPr>
          <w:rFonts w:asciiTheme="majorHAnsi" w:eastAsia="Times New Roman" w:hAnsiTheme="majorHAnsi" w:cstheme="minorHAnsi"/>
          <w:b/>
          <w:vanish/>
          <w:szCs w:val="24"/>
          <w:lang w:val="sr-Latn-CS"/>
        </w:rPr>
      </w:pPr>
    </w:p>
    <w:p w:rsidR="009248F4" w:rsidRPr="002A0BEE" w:rsidRDefault="009248F4" w:rsidP="00AF2D20">
      <w:pPr>
        <w:pStyle w:val="ListParagraph"/>
        <w:numPr>
          <w:ilvl w:val="0"/>
          <w:numId w:val="2"/>
        </w:numPr>
        <w:tabs>
          <w:tab w:val="left" w:pos="270"/>
          <w:tab w:val="left" w:pos="720"/>
        </w:tabs>
        <w:jc w:val="both"/>
        <w:rPr>
          <w:rFonts w:asciiTheme="majorHAnsi" w:eastAsia="Times New Roman" w:hAnsiTheme="majorHAnsi" w:cstheme="minorHAnsi"/>
          <w:b/>
          <w:vanish/>
          <w:szCs w:val="24"/>
          <w:lang w:val="sr-Latn-CS"/>
        </w:rPr>
      </w:pPr>
    </w:p>
    <w:p w:rsidR="009248F4" w:rsidRPr="0021277B" w:rsidRDefault="009248F4" w:rsidP="0055031D">
      <w:pPr>
        <w:pStyle w:val="ListParagraph"/>
        <w:numPr>
          <w:ilvl w:val="0"/>
          <w:numId w:val="46"/>
        </w:numPr>
        <w:tabs>
          <w:tab w:val="left" w:pos="270"/>
          <w:tab w:val="left" w:pos="720"/>
        </w:tabs>
        <w:jc w:val="both"/>
        <w:rPr>
          <w:rFonts w:asciiTheme="majorHAnsi" w:eastAsia="Times New Roman" w:hAnsiTheme="majorHAnsi" w:cstheme="minorHAnsi"/>
          <w:b/>
          <w:szCs w:val="24"/>
          <w:lang w:val="sr-Latn-CS"/>
        </w:rPr>
      </w:pPr>
      <w:bookmarkStart w:id="34" w:name="_Toc390549894"/>
      <w:bookmarkStart w:id="35" w:name="_Toc401959411"/>
      <w:bookmarkStart w:id="36" w:name="_Toc401959504"/>
      <w:r w:rsidRPr="0021277B">
        <w:rPr>
          <w:rFonts w:asciiTheme="majorHAnsi" w:eastAsia="Times New Roman" w:hAnsiTheme="majorHAnsi" w:cstheme="minorHAnsi"/>
          <w:b/>
          <w:szCs w:val="24"/>
          <w:lang w:val="sr-Latn-CS"/>
        </w:rPr>
        <w:t>Rok trajanja koncesije</w:t>
      </w:r>
      <w:bookmarkEnd w:id="34"/>
      <w:bookmarkEnd w:id="35"/>
      <w:bookmarkEnd w:id="36"/>
    </w:p>
    <w:p w:rsidR="009248F4" w:rsidRPr="002A0BEE" w:rsidRDefault="009248F4" w:rsidP="00AF2D20">
      <w:pPr>
        <w:contextualSpacing/>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Shodno članu 8 Zakona o koncesijama rok na koji se daje koncesija određuje se u zavisnosti od javnog interesa, predmeta koncesije, vremena potrebnog za povrat investicije i ostvarivanja primjerene dobiti po osnovu koncesione djelatnosti. Navedeni rok ne može biti duži od 30 godina kada odluku o davanju koncesije donosi Vlada i opština, niti duži od 60 godina kada odluku o davanju koncesije donosi Skupština.</w:t>
      </w:r>
    </w:p>
    <w:p w:rsidR="009248F4" w:rsidRPr="002A0BEE" w:rsidRDefault="009248F4" w:rsidP="00AF2D20">
      <w:pPr>
        <w:contextualSpacing/>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U konkretnom slučaju, rok trajanja koncesije zavisi od utvrđenih rezervi, godišnjeg kapaciteta eksploatacije, od zahtjeva tržišta i od zahtjeva investitora.</w:t>
      </w:r>
    </w:p>
    <w:p w:rsidR="00CF1114" w:rsidRPr="002A0BEE" w:rsidRDefault="0029592C" w:rsidP="00AF2D20">
      <w:pPr>
        <w:contextualSpacing/>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S obzirom na utvrđene</w:t>
      </w:r>
      <w:r w:rsidR="009248F4" w:rsidRPr="002A0BEE">
        <w:rPr>
          <w:rFonts w:asciiTheme="majorHAnsi" w:eastAsia="Times New Roman" w:hAnsiTheme="majorHAnsi" w:cstheme="minorHAnsi"/>
          <w:szCs w:val="24"/>
          <w:lang w:val="sr-Latn-CS"/>
        </w:rPr>
        <w:t xml:space="preserve"> rezerve, koncesija za </w:t>
      </w:r>
      <w:r w:rsidRPr="002A0BEE">
        <w:rPr>
          <w:rFonts w:asciiTheme="majorHAnsi" w:eastAsia="Times New Roman" w:hAnsiTheme="majorHAnsi" w:cstheme="minorHAnsi"/>
          <w:szCs w:val="24"/>
          <w:lang w:val="sr-Latn-CS"/>
        </w:rPr>
        <w:t>eksploataciju</w:t>
      </w:r>
      <w:r w:rsidR="009248F4" w:rsidRPr="002A0BEE">
        <w:rPr>
          <w:rFonts w:asciiTheme="majorHAnsi" w:eastAsia="Times New Roman" w:hAnsiTheme="majorHAnsi" w:cstheme="minorHAnsi"/>
          <w:szCs w:val="24"/>
          <w:lang w:val="sr-Latn-CS"/>
        </w:rPr>
        <w:t xml:space="preserve"> arhitektonsko-građevinskog (ukrasnog) kamena </w:t>
      </w:r>
      <w:r w:rsidR="00C538A0" w:rsidRPr="002A0BEE">
        <w:rPr>
          <w:rFonts w:asciiTheme="majorHAnsi" w:eastAsia="Times New Roman" w:hAnsiTheme="majorHAnsi" w:cstheme="minorHAnsi"/>
          <w:szCs w:val="24"/>
          <w:lang w:val="sr-Latn-CS"/>
        </w:rPr>
        <w:t>i</w:t>
      </w:r>
      <w:r w:rsidRPr="002A0BEE">
        <w:rPr>
          <w:rFonts w:asciiTheme="majorHAnsi" w:eastAsia="Times New Roman" w:hAnsiTheme="majorHAnsi" w:cstheme="minorHAnsi"/>
          <w:szCs w:val="24"/>
          <w:lang w:val="sr-Latn-CS"/>
        </w:rPr>
        <w:t xml:space="preserve"> tehničko-građevinskog kamena ležišta “Visočica” d</w:t>
      </w:r>
      <w:r w:rsidR="00CF1114" w:rsidRPr="002A0BEE">
        <w:rPr>
          <w:rFonts w:asciiTheme="majorHAnsi" w:eastAsia="Times New Roman" w:hAnsiTheme="majorHAnsi" w:cstheme="minorHAnsi"/>
          <w:szCs w:val="24"/>
          <w:lang w:val="sr-Latn-CS"/>
        </w:rPr>
        <w:t xml:space="preserve">aje se na </w:t>
      </w:r>
      <w:r w:rsidRPr="002A0BEE">
        <w:rPr>
          <w:rFonts w:asciiTheme="majorHAnsi" w:eastAsia="Times New Roman" w:hAnsiTheme="majorHAnsi" w:cstheme="minorHAnsi"/>
          <w:szCs w:val="24"/>
          <w:lang w:val="sr-Latn-CS"/>
        </w:rPr>
        <w:t>period od 30</w:t>
      </w:r>
      <w:r w:rsidR="00CF1114" w:rsidRPr="002A0BEE">
        <w:rPr>
          <w:rFonts w:asciiTheme="majorHAnsi" w:eastAsia="Times New Roman" w:hAnsiTheme="majorHAnsi" w:cstheme="minorHAnsi"/>
          <w:szCs w:val="24"/>
          <w:lang w:val="sr-Latn-CS"/>
        </w:rPr>
        <w:t xml:space="preserve"> godina, koji ne prelazi zakonom d</w:t>
      </w:r>
      <w:r w:rsidR="00156044" w:rsidRPr="002A0BEE">
        <w:rPr>
          <w:rFonts w:asciiTheme="majorHAnsi" w:eastAsia="Times New Roman" w:hAnsiTheme="majorHAnsi" w:cstheme="minorHAnsi"/>
          <w:szCs w:val="24"/>
          <w:lang w:val="sr-Latn-CS"/>
        </w:rPr>
        <w:t>efinisan rok trajanja koncesije.</w:t>
      </w:r>
    </w:p>
    <w:p w:rsidR="009248F4" w:rsidRPr="002A0BEE" w:rsidRDefault="009248F4" w:rsidP="00AF2D20">
      <w:pPr>
        <w:contextualSpacing/>
        <w:jc w:val="both"/>
        <w:rPr>
          <w:rFonts w:asciiTheme="majorHAnsi" w:eastAsia="Times New Roman" w:hAnsiTheme="majorHAnsi" w:cstheme="minorHAnsi"/>
          <w:szCs w:val="24"/>
          <w:lang w:val="sr-Latn-CS"/>
        </w:rPr>
      </w:pPr>
    </w:p>
    <w:p w:rsidR="009248F4" w:rsidRPr="002A0BEE" w:rsidRDefault="009248F4" w:rsidP="0055031D">
      <w:pPr>
        <w:pStyle w:val="Heading1"/>
        <w:numPr>
          <w:ilvl w:val="0"/>
          <w:numId w:val="47"/>
        </w:numPr>
        <w:spacing w:before="0" w:after="200"/>
        <w:contextualSpacing/>
        <w:rPr>
          <w:rFonts w:asciiTheme="majorHAnsi" w:eastAsia="Times New Roman" w:hAnsiTheme="majorHAnsi" w:cstheme="minorHAnsi"/>
          <w:sz w:val="24"/>
          <w:szCs w:val="24"/>
          <w:lang w:val="sr-Latn-CS"/>
        </w:rPr>
      </w:pPr>
      <w:bookmarkStart w:id="37" w:name="_Toc390336531"/>
      <w:bookmarkStart w:id="38" w:name="_Toc390336656"/>
      <w:bookmarkStart w:id="39" w:name="_Toc390549895"/>
      <w:bookmarkStart w:id="40" w:name="_Toc401959412"/>
      <w:bookmarkStart w:id="41" w:name="_Toc401959505"/>
      <w:bookmarkStart w:id="42" w:name="_Toc435529005"/>
      <w:bookmarkStart w:id="43" w:name="_Toc436124874"/>
      <w:r w:rsidRPr="002A0BEE">
        <w:rPr>
          <w:rFonts w:asciiTheme="majorHAnsi" w:eastAsia="Times New Roman" w:hAnsiTheme="majorHAnsi" w:cstheme="minorHAnsi"/>
          <w:sz w:val="24"/>
          <w:szCs w:val="24"/>
          <w:lang w:val="sr-Latn-CS"/>
        </w:rPr>
        <w:t>O</w:t>
      </w:r>
      <w:r w:rsidRPr="002A0BEE">
        <w:rPr>
          <w:rFonts w:asciiTheme="majorHAnsi" w:hAnsiTheme="majorHAnsi" w:cstheme="minorHAnsi"/>
          <w:sz w:val="24"/>
          <w:szCs w:val="24"/>
          <w:lang w:val="sr-Latn-CS"/>
        </w:rPr>
        <w:t>snovni parametri za ocjenu ekonomske opravdanosti investicije</w:t>
      </w:r>
      <w:bookmarkEnd w:id="37"/>
      <w:bookmarkEnd w:id="38"/>
      <w:bookmarkEnd w:id="39"/>
      <w:bookmarkEnd w:id="40"/>
      <w:bookmarkEnd w:id="41"/>
      <w:bookmarkEnd w:id="42"/>
      <w:bookmarkEnd w:id="43"/>
    </w:p>
    <w:p w:rsidR="009248F4" w:rsidRPr="002A0BEE" w:rsidRDefault="009248F4" w:rsidP="00AF2D20">
      <w:pPr>
        <w:contextualSpacing/>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U ovom poglavlju daju se osnovni parametri koji treba da posluže ponuđačima, odnosno potencijalnim investitorima pri obradi proizvodnog i ekonomskog aspekta ponude i tehno-ekonomske ocjene opravdanosti ove investicije.</w:t>
      </w:r>
    </w:p>
    <w:p w:rsidR="009248F4" w:rsidRPr="002A0BEE" w:rsidRDefault="009248F4" w:rsidP="00AF2D20">
      <w:pPr>
        <w:pStyle w:val="ListParagraph"/>
        <w:numPr>
          <w:ilvl w:val="0"/>
          <w:numId w:val="5"/>
        </w:numPr>
        <w:jc w:val="both"/>
        <w:rPr>
          <w:rFonts w:asciiTheme="majorHAnsi" w:hAnsiTheme="majorHAnsi" w:cstheme="minorHAnsi"/>
          <w:b/>
          <w:vanish/>
          <w:szCs w:val="24"/>
          <w:lang w:val="sr-Latn-CS"/>
        </w:rPr>
      </w:pPr>
    </w:p>
    <w:p w:rsidR="009248F4" w:rsidRPr="002A0BEE" w:rsidRDefault="009248F4" w:rsidP="00AF2D20">
      <w:pPr>
        <w:pStyle w:val="ListParagraph"/>
        <w:numPr>
          <w:ilvl w:val="0"/>
          <w:numId w:val="5"/>
        </w:numPr>
        <w:jc w:val="both"/>
        <w:rPr>
          <w:rFonts w:asciiTheme="majorHAnsi" w:hAnsiTheme="majorHAnsi" w:cstheme="minorHAnsi"/>
          <w:b/>
          <w:vanish/>
          <w:szCs w:val="24"/>
          <w:lang w:val="sr-Latn-CS"/>
        </w:rPr>
      </w:pPr>
    </w:p>
    <w:p w:rsidR="009248F4" w:rsidRPr="002A0BEE" w:rsidRDefault="009248F4" w:rsidP="00AF2D20">
      <w:pPr>
        <w:pStyle w:val="ListParagraph"/>
        <w:numPr>
          <w:ilvl w:val="0"/>
          <w:numId w:val="5"/>
        </w:numPr>
        <w:jc w:val="both"/>
        <w:rPr>
          <w:rFonts w:asciiTheme="majorHAnsi" w:hAnsiTheme="majorHAnsi" w:cstheme="minorHAnsi"/>
          <w:b/>
          <w:vanish/>
          <w:szCs w:val="24"/>
          <w:lang w:val="sr-Latn-CS"/>
        </w:rPr>
      </w:pPr>
    </w:p>
    <w:p w:rsidR="009248F4" w:rsidRPr="002A0BEE" w:rsidRDefault="009248F4" w:rsidP="00AF2D20">
      <w:pPr>
        <w:pStyle w:val="ListParagraph"/>
        <w:numPr>
          <w:ilvl w:val="0"/>
          <w:numId w:val="3"/>
        </w:numPr>
        <w:jc w:val="both"/>
        <w:rPr>
          <w:rFonts w:asciiTheme="majorHAnsi" w:hAnsiTheme="majorHAnsi" w:cstheme="minorHAnsi"/>
          <w:b/>
          <w:vanish/>
          <w:szCs w:val="24"/>
          <w:lang w:val="sr-Latn-CS"/>
        </w:rPr>
      </w:pPr>
    </w:p>
    <w:p w:rsidR="009248F4" w:rsidRPr="002A0BEE" w:rsidRDefault="009248F4" w:rsidP="00AF2D20">
      <w:pPr>
        <w:pStyle w:val="ListParagraph"/>
        <w:numPr>
          <w:ilvl w:val="0"/>
          <w:numId w:val="3"/>
        </w:numPr>
        <w:jc w:val="both"/>
        <w:rPr>
          <w:rFonts w:asciiTheme="majorHAnsi" w:hAnsiTheme="majorHAnsi" w:cstheme="minorHAnsi"/>
          <w:b/>
          <w:vanish/>
          <w:szCs w:val="24"/>
          <w:lang w:val="sr-Latn-CS"/>
        </w:rPr>
      </w:pPr>
    </w:p>
    <w:p w:rsidR="009248F4" w:rsidRPr="002A0BEE" w:rsidRDefault="00574678" w:rsidP="0055031D">
      <w:pPr>
        <w:pStyle w:val="Heading2"/>
        <w:numPr>
          <w:ilvl w:val="1"/>
          <w:numId w:val="47"/>
        </w:numPr>
        <w:spacing w:before="0" w:after="200"/>
        <w:contextualSpacing/>
        <w:rPr>
          <w:rFonts w:eastAsia="Times New Roman" w:cstheme="minorHAnsi"/>
          <w:szCs w:val="24"/>
          <w:lang w:val="sr-Latn-CS"/>
        </w:rPr>
      </w:pPr>
      <w:bookmarkStart w:id="44" w:name="_Toc401959413"/>
      <w:bookmarkStart w:id="45" w:name="_Toc401959506"/>
      <w:bookmarkStart w:id="46" w:name="_Toc435529006"/>
      <w:bookmarkStart w:id="47" w:name="_Toc436124875"/>
      <w:r w:rsidRPr="002A0BEE">
        <w:rPr>
          <w:rFonts w:cstheme="minorHAnsi"/>
          <w:szCs w:val="24"/>
          <w:lang w:val="sr-Latn-CS"/>
        </w:rPr>
        <w:t>Lokacija</w:t>
      </w:r>
      <w:bookmarkEnd w:id="44"/>
      <w:bookmarkEnd w:id="45"/>
      <w:bookmarkEnd w:id="46"/>
      <w:bookmarkEnd w:id="47"/>
      <w:r w:rsidRPr="002A0BEE">
        <w:rPr>
          <w:rFonts w:cstheme="minorHAnsi"/>
          <w:szCs w:val="24"/>
          <w:lang w:val="sr-Latn-CS"/>
        </w:rPr>
        <w:t xml:space="preserve"> </w:t>
      </w:r>
    </w:p>
    <w:p w:rsidR="00CF1114" w:rsidRPr="002A0BEE" w:rsidRDefault="00CF1114" w:rsidP="00AF2D20">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Brdo Visočica je udaljeno oko 1 km od Spuža i nalazi se na lijevoj obali rijeke Zete. Administrativno pripada opštini Danilovgrad i nalazi se na topografskom listu ”Danilovgrad”, 1:100 000, odnosno sekciji ”Spuž”, 1:25 000.</w:t>
      </w:r>
    </w:p>
    <w:p w:rsidR="00CF1114" w:rsidRPr="002A0BEE" w:rsidRDefault="00CF1114" w:rsidP="00AF2D20">
      <w:pPr>
        <w:contextualSpacing/>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lastRenderedPageBreak/>
        <w:t>Nadmorska visina Visočice je 153,9 m, a nadmorska visina ravnice u neposrednoj blizini ovog i nekoliko okolnih uzvišenja iznosi od 55 do 65 m. Duža osa ima pravac pružanja ZSZ - IJI i dužine je oko 500 m, dok kraća osa ima dužinu od oko 400 m i orijentisana je u pravcu SSZ - JJI.</w:t>
      </w:r>
    </w:p>
    <w:p w:rsidR="009248F4" w:rsidRPr="002A0BEE" w:rsidRDefault="00CF1114" w:rsidP="00AF2D20">
      <w:pPr>
        <w:contextualSpacing/>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Prostor predviđen za eksploataciju arhitektonsko-građevinskog (ukrasnog) kamena nalazi se na istočnoj strani brda, dok se na zapadnoj i sjevernoj strani nalazi dio brda koji se koristi za eksploataciju tehničko-građevinskog kamena.</w:t>
      </w:r>
    </w:p>
    <w:p w:rsidR="008D1EA1" w:rsidRPr="002A0BEE" w:rsidRDefault="008D1EA1" w:rsidP="0055031D">
      <w:pPr>
        <w:pStyle w:val="Heading2"/>
        <w:numPr>
          <w:ilvl w:val="1"/>
          <w:numId w:val="47"/>
        </w:numPr>
        <w:spacing w:before="0" w:after="200"/>
        <w:contextualSpacing/>
        <w:rPr>
          <w:rFonts w:eastAsia="Times New Roman" w:cstheme="minorHAnsi"/>
          <w:szCs w:val="24"/>
          <w:lang w:val="sr-Latn-CS"/>
        </w:rPr>
      </w:pPr>
      <w:bookmarkStart w:id="48" w:name="_Toc435529007"/>
      <w:bookmarkStart w:id="49" w:name="_Toc436124876"/>
      <w:r w:rsidRPr="002A0BEE">
        <w:rPr>
          <w:rFonts w:eastAsia="Times New Roman" w:cstheme="minorHAnsi"/>
          <w:szCs w:val="24"/>
          <w:lang w:val="sr-Latn-CS"/>
        </w:rPr>
        <w:t>Vrijednost mineralne sirovine</w:t>
      </w:r>
      <w:bookmarkEnd w:id="48"/>
      <w:bookmarkEnd w:id="49"/>
    </w:p>
    <w:p w:rsidR="008D1EA1" w:rsidRPr="002A0BEE" w:rsidRDefault="008D1EA1" w:rsidP="00AF2D20">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Vrijednost mineralne sirovine proračunata je na osnovu prosječno ostvarene prodajne cijene jedinice proizvoda u 2014. godini (akt Zavoda za statistiku, broj: 12-373/2 od 16.02.2015. godine).</w:t>
      </w:r>
    </w:p>
    <w:p w:rsidR="008D1EA1" w:rsidRPr="002A0BEE" w:rsidRDefault="008D1EA1" w:rsidP="00AF2D20">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Prosječno ostvarena prodajna cijena komercijalnog bloka i tombolona u 2014. godini iznosi 335,00 €/m</w:t>
      </w:r>
      <w:r w:rsidRPr="002A0BEE">
        <w:rPr>
          <w:rFonts w:asciiTheme="majorHAnsi" w:eastAsia="Times New Roman" w:hAnsiTheme="majorHAnsi" w:cstheme="minorHAnsi"/>
          <w:szCs w:val="24"/>
          <w:vertAlign w:val="superscript"/>
          <w:lang w:val="sr-Latn-CS"/>
        </w:rPr>
        <w:t>3</w:t>
      </w:r>
      <w:r w:rsidRPr="002A0BEE">
        <w:rPr>
          <w:rFonts w:asciiTheme="majorHAnsi" w:eastAsia="Times New Roman" w:hAnsiTheme="majorHAnsi" w:cstheme="minorHAnsi"/>
          <w:szCs w:val="24"/>
          <w:lang w:val="sr-Latn-CS"/>
        </w:rPr>
        <w:t xml:space="preserve"> bez PDV-a.</w:t>
      </w:r>
    </w:p>
    <w:p w:rsidR="008D1EA1" w:rsidRPr="002A0BEE" w:rsidRDefault="008D1EA1" w:rsidP="00AF2D20">
      <w:pPr>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Vrijednost godišnje proizvodnje</w:t>
      </w:r>
      <w:r w:rsidR="00695AB6" w:rsidRPr="002A0BEE">
        <w:rPr>
          <w:rFonts w:asciiTheme="majorHAnsi" w:eastAsia="Times New Roman" w:hAnsiTheme="majorHAnsi" w:cstheme="minorHAnsi"/>
          <w:b/>
          <w:szCs w:val="24"/>
          <w:lang w:val="sr-Latn-CS"/>
        </w:rPr>
        <w:t xml:space="preserve"> arhitektonsko</w:t>
      </w:r>
      <w:r w:rsidR="0094402C" w:rsidRPr="002A0BEE">
        <w:rPr>
          <w:rFonts w:asciiTheme="majorHAnsi" w:eastAsia="Times New Roman" w:hAnsiTheme="majorHAnsi" w:cstheme="minorHAnsi"/>
          <w:b/>
          <w:szCs w:val="24"/>
          <w:lang w:val="sr-Latn-CS"/>
        </w:rPr>
        <w:t>-</w:t>
      </w:r>
      <w:r w:rsidR="00695AB6" w:rsidRPr="002A0BEE">
        <w:rPr>
          <w:rFonts w:asciiTheme="majorHAnsi" w:eastAsia="Times New Roman" w:hAnsiTheme="majorHAnsi" w:cstheme="minorHAnsi"/>
          <w:b/>
          <w:szCs w:val="24"/>
          <w:lang w:val="sr-Latn-CS"/>
        </w:rPr>
        <w:t>građevinskog (ukrasnog) kamena</w:t>
      </w:r>
      <w:r w:rsidRPr="002A0BEE">
        <w:rPr>
          <w:rFonts w:asciiTheme="majorHAnsi" w:eastAsia="Times New Roman" w:hAnsiTheme="majorHAnsi" w:cstheme="minorHAnsi"/>
          <w:b/>
          <w:szCs w:val="24"/>
          <w:lang w:val="sr-Latn-CS"/>
        </w:rPr>
        <w:t xml:space="preserve"> (2.</w:t>
      </w:r>
      <w:r w:rsidR="00347B57" w:rsidRPr="002A0BEE">
        <w:rPr>
          <w:rFonts w:asciiTheme="majorHAnsi" w:eastAsia="Times New Roman" w:hAnsiTheme="majorHAnsi" w:cstheme="minorHAnsi"/>
          <w:b/>
          <w:szCs w:val="24"/>
          <w:lang w:val="sr-Latn-CS"/>
        </w:rPr>
        <w:t>0</w:t>
      </w:r>
      <w:r w:rsidRPr="002A0BEE">
        <w:rPr>
          <w:rFonts w:asciiTheme="majorHAnsi" w:eastAsia="Times New Roman" w:hAnsiTheme="majorHAnsi" w:cstheme="minorHAnsi"/>
          <w:b/>
          <w:szCs w:val="24"/>
          <w:lang w:val="sr-Latn-CS"/>
        </w:rPr>
        <w:t>00 m</w:t>
      </w:r>
      <w:r w:rsidRPr="002A0BEE">
        <w:rPr>
          <w:rFonts w:asciiTheme="majorHAnsi" w:eastAsia="Times New Roman" w:hAnsiTheme="majorHAnsi" w:cstheme="minorHAnsi"/>
          <w:b/>
          <w:szCs w:val="24"/>
          <w:vertAlign w:val="superscript"/>
          <w:lang w:val="sr-Latn-CS"/>
        </w:rPr>
        <w:t>3</w:t>
      </w:r>
      <w:r w:rsidRPr="002A0BEE">
        <w:rPr>
          <w:rFonts w:asciiTheme="majorHAnsi" w:eastAsia="Times New Roman" w:hAnsiTheme="majorHAnsi" w:cstheme="minorHAnsi"/>
          <w:b/>
          <w:szCs w:val="24"/>
          <w:lang w:val="sr-Latn-CS"/>
        </w:rPr>
        <w:t xml:space="preserve"> komercijalnog bloka i tombolona x 335,00 €) iznosi </w:t>
      </w:r>
      <w:r w:rsidR="00347B57" w:rsidRPr="002A0BEE">
        <w:rPr>
          <w:rFonts w:asciiTheme="majorHAnsi" w:eastAsia="Times New Roman" w:hAnsiTheme="majorHAnsi" w:cstheme="minorHAnsi"/>
          <w:b/>
          <w:szCs w:val="24"/>
          <w:lang w:val="sr-Latn-CS"/>
        </w:rPr>
        <w:t>670</w:t>
      </w:r>
      <w:r w:rsidRPr="002A0BEE">
        <w:rPr>
          <w:rFonts w:asciiTheme="majorHAnsi" w:eastAsia="Times New Roman" w:hAnsiTheme="majorHAnsi" w:cstheme="minorHAnsi"/>
          <w:b/>
          <w:szCs w:val="24"/>
          <w:lang w:val="sr-Latn-CS"/>
        </w:rPr>
        <w:t>.</w:t>
      </w:r>
      <w:r w:rsidR="00347B57" w:rsidRPr="002A0BEE">
        <w:rPr>
          <w:rFonts w:asciiTheme="majorHAnsi" w:eastAsia="Times New Roman" w:hAnsiTheme="majorHAnsi" w:cstheme="minorHAnsi"/>
          <w:b/>
          <w:szCs w:val="24"/>
          <w:lang w:val="sr-Latn-CS"/>
        </w:rPr>
        <w:t>0</w:t>
      </w:r>
      <w:r w:rsidRPr="002A0BEE">
        <w:rPr>
          <w:rFonts w:asciiTheme="majorHAnsi" w:eastAsia="Times New Roman" w:hAnsiTheme="majorHAnsi" w:cstheme="minorHAnsi"/>
          <w:b/>
          <w:szCs w:val="24"/>
          <w:lang w:val="sr-Latn-CS"/>
        </w:rPr>
        <w:t>00,00 €.</w:t>
      </w:r>
    </w:p>
    <w:p w:rsidR="009248F4" w:rsidRPr="002A0BEE" w:rsidRDefault="008D1EA1" w:rsidP="00AF2D20">
      <w:pPr>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Vrijednost proizvodnje</w:t>
      </w:r>
      <w:r w:rsidR="00695AB6" w:rsidRPr="002A0BEE">
        <w:rPr>
          <w:rFonts w:asciiTheme="majorHAnsi" w:eastAsia="Times New Roman" w:hAnsiTheme="majorHAnsi" w:cstheme="minorHAnsi"/>
          <w:b/>
          <w:szCs w:val="24"/>
          <w:lang w:val="sr-Latn-CS"/>
        </w:rPr>
        <w:t xml:space="preserve"> </w:t>
      </w:r>
      <w:r w:rsidR="0094402C" w:rsidRPr="002A0BEE">
        <w:rPr>
          <w:rFonts w:asciiTheme="majorHAnsi" w:eastAsia="Times New Roman" w:hAnsiTheme="majorHAnsi" w:cstheme="minorHAnsi"/>
          <w:b/>
          <w:szCs w:val="24"/>
          <w:lang w:val="sr-Latn-CS"/>
        </w:rPr>
        <w:t>arhitektonsko-</w:t>
      </w:r>
      <w:r w:rsidR="00695AB6" w:rsidRPr="002A0BEE">
        <w:rPr>
          <w:rFonts w:asciiTheme="majorHAnsi" w:eastAsia="Times New Roman" w:hAnsiTheme="majorHAnsi" w:cstheme="minorHAnsi"/>
          <w:b/>
          <w:szCs w:val="24"/>
          <w:lang w:val="sr-Latn-CS"/>
        </w:rPr>
        <w:t>građevinskog (ukrasnog) kamena</w:t>
      </w:r>
      <w:r w:rsidRPr="002A0BEE">
        <w:rPr>
          <w:rFonts w:asciiTheme="majorHAnsi" w:eastAsia="Times New Roman" w:hAnsiTheme="majorHAnsi" w:cstheme="minorHAnsi"/>
          <w:b/>
          <w:szCs w:val="24"/>
          <w:lang w:val="sr-Latn-CS"/>
        </w:rPr>
        <w:t xml:space="preserve"> za 30 godina perioda eksploatacije (</w:t>
      </w:r>
      <w:r w:rsidR="00347B57" w:rsidRPr="002A0BEE">
        <w:rPr>
          <w:rFonts w:asciiTheme="majorHAnsi" w:eastAsia="Times New Roman" w:hAnsiTheme="majorHAnsi" w:cstheme="minorHAnsi"/>
          <w:b/>
          <w:szCs w:val="24"/>
          <w:lang w:val="sr-Latn-CS"/>
        </w:rPr>
        <w:t>60</w:t>
      </w:r>
      <w:r w:rsidRPr="002A0BEE">
        <w:rPr>
          <w:rFonts w:asciiTheme="majorHAnsi" w:eastAsia="Times New Roman" w:hAnsiTheme="majorHAnsi" w:cstheme="minorHAnsi"/>
          <w:b/>
          <w:szCs w:val="24"/>
          <w:lang w:val="sr-Latn-CS"/>
        </w:rPr>
        <w:t>.000 m</w:t>
      </w:r>
      <w:r w:rsidRPr="002A0BEE">
        <w:rPr>
          <w:rFonts w:asciiTheme="majorHAnsi" w:eastAsia="Times New Roman" w:hAnsiTheme="majorHAnsi" w:cstheme="minorHAnsi"/>
          <w:b/>
          <w:szCs w:val="24"/>
          <w:vertAlign w:val="superscript"/>
          <w:lang w:val="sr-Latn-CS"/>
        </w:rPr>
        <w:t>3</w:t>
      </w:r>
      <w:r w:rsidRPr="002A0BEE">
        <w:rPr>
          <w:rFonts w:asciiTheme="majorHAnsi" w:eastAsia="Times New Roman" w:hAnsiTheme="majorHAnsi" w:cstheme="minorHAnsi"/>
          <w:b/>
          <w:szCs w:val="24"/>
          <w:lang w:val="sr-Latn-CS"/>
        </w:rPr>
        <w:t xml:space="preserve"> komercijalnog bloka i tombolona) iznosi 2</w:t>
      </w:r>
      <w:r w:rsidR="00347B57" w:rsidRPr="002A0BEE">
        <w:rPr>
          <w:rFonts w:asciiTheme="majorHAnsi" w:eastAsia="Times New Roman" w:hAnsiTheme="majorHAnsi" w:cstheme="minorHAnsi"/>
          <w:b/>
          <w:szCs w:val="24"/>
          <w:lang w:val="sr-Latn-CS"/>
        </w:rPr>
        <w:t>0</w:t>
      </w:r>
      <w:r w:rsidRPr="002A0BEE">
        <w:rPr>
          <w:rFonts w:asciiTheme="majorHAnsi" w:eastAsia="Times New Roman" w:hAnsiTheme="majorHAnsi" w:cstheme="minorHAnsi"/>
          <w:b/>
          <w:szCs w:val="24"/>
          <w:lang w:val="sr-Latn-CS"/>
        </w:rPr>
        <w:t>.1</w:t>
      </w:r>
      <w:r w:rsidR="00347B57" w:rsidRPr="002A0BEE">
        <w:rPr>
          <w:rFonts w:asciiTheme="majorHAnsi" w:eastAsia="Times New Roman" w:hAnsiTheme="majorHAnsi" w:cstheme="minorHAnsi"/>
          <w:b/>
          <w:szCs w:val="24"/>
          <w:lang w:val="sr-Latn-CS"/>
        </w:rPr>
        <w:t>00</w:t>
      </w:r>
      <w:r w:rsidRPr="002A0BEE">
        <w:rPr>
          <w:rFonts w:asciiTheme="majorHAnsi" w:eastAsia="Times New Roman" w:hAnsiTheme="majorHAnsi" w:cstheme="minorHAnsi"/>
          <w:b/>
          <w:szCs w:val="24"/>
          <w:lang w:val="sr-Latn-CS"/>
        </w:rPr>
        <w:t>.000,00 €.</w:t>
      </w:r>
    </w:p>
    <w:p w:rsidR="00695AB6" w:rsidRPr="002A0BEE" w:rsidRDefault="00695AB6" w:rsidP="00695AB6">
      <w:pPr>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 xml:space="preserve">Vrijednost godišnje proizvodnje </w:t>
      </w:r>
      <w:r w:rsidR="0094402C" w:rsidRPr="002A0BEE">
        <w:rPr>
          <w:rFonts w:asciiTheme="majorHAnsi" w:eastAsia="Times New Roman" w:hAnsiTheme="majorHAnsi" w:cstheme="minorHAnsi"/>
          <w:b/>
          <w:szCs w:val="24"/>
          <w:lang w:val="sr-Latn-CS"/>
        </w:rPr>
        <w:t>tehničko-</w:t>
      </w:r>
      <w:r w:rsidRPr="002A0BEE">
        <w:rPr>
          <w:rFonts w:asciiTheme="majorHAnsi" w:eastAsia="Times New Roman" w:hAnsiTheme="majorHAnsi" w:cstheme="minorHAnsi"/>
          <w:b/>
          <w:szCs w:val="24"/>
          <w:lang w:val="sr-Latn-CS"/>
        </w:rPr>
        <w:t>građevinskog kamena (</w:t>
      </w:r>
      <w:r w:rsidR="0094402C" w:rsidRPr="002A0BEE">
        <w:rPr>
          <w:rFonts w:asciiTheme="majorHAnsi" w:eastAsia="Times New Roman" w:hAnsiTheme="majorHAnsi" w:cstheme="minorHAnsi"/>
          <w:b/>
          <w:szCs w:val="24"/>
          <w:lang w:val="sr-Latn-CS"/>
        </w:rPr>
        <w:t>7.091</w:t>
      </w:r>
      <w:r w:rsidRPr="002A0BEE">
        <w:rPr>
          <w:rFonts w:asciiTheme="majorHAnsi" w:eastAsia="Times New Roman" w:hAnsiTheme="majorHAnsi" w:cstheme="minorHAnsi"/>
          <w:b/>
          <w:szCs w:val="24"/>
          <w:lang w:val="sr-Latn-CS"/>
        </w:rPr>
        <w:t xml:space="preserve"> m</w:t>
      </w:r>
      <w:r w:rsidRPr="002A0BEE">
        <w:rPr>
          <w:rFonts w:asciiTheme="majorHAnsi" w:eastAsia="Times New Roman" w:hAnsiTheme="majorHAnsi" w:cstheme="minorHAnsi"/>
          <w:b/>
          <w:szCs w:val="24"/>
          <w:vertAlign w:val="superscript"/>
          <w:lang w:val="sr-Latn-CS"/>
        </w:rPr>
        <w:t>3</w:t>
      </w:r>
      <w:r w:rsidRPr="002A0BEE">
        <w:rPr>
          <w:rFonts w:asciiTheme="majorHAnsi" w:eastAsia="Times New Roman" w:hAnsiTheme="majorHAnsi" w:cstheme="minorHAnsi"/>
          <w:b/>
          <w:szCs w:val="24"/>
          <w:lang w:val="sr-Latn-CS"/>
        </w:rPr>
        <w:t xml:space="preserve"> </w:t>
      </w:r>
      <w:r w:rsidR="0094402C" w:rsidRPr="002A0BEE">
        <w:rPr>
          <w:rFonts w:asciiTheme="majorHAnsi" w:eastAsia="Times New Roman" w:hAnsiTheme="majorHAnsi" w:cstheme="minorHAnsi"/>
          <w:b/>
          <w:szCs w:val="24"/>
          <w:lang w:val="sr-Latn-CS"/>
        </w:rPr>
        <w:t>č.s.m.</w:t>
      </w:r>
      <w:r w:rsidRPr="002A0BEE">
        <w:rPr>
          <w:rFonts w:asciiTheme="majorHAnsi" w:eastAsia="Times New Roman" w:hAnsiTheme="majorHAnsi" w:cstheme="minorHAnsi"/>
          <w:b/>
          <w:szCs w:val="24"/>
          <w:lang w:val="sr-Latn-CS"/>
        </w:rPr>
        <w:t xml:space="preserve"> x </w:t>
      </w:r>
      <w:r w:rsidR="0094402C" w:rsidRPr="002A0BEE">
        <w:rPr>
          <w:rFonts w:asciiTheme="majorHAnsi" w:eastAsia="Times New Roman" w:hAnsiTheme="majorHAnsi" w:cstheme="minorHAnsi"/>
          <w:b/>
          <w:szCs w:val="24"/>
          <w:lang w:val="sr-Latn-CS"/>
        </w:rPr>
        <w:t>26,367 €</w:t>
      </w:r>
      <w:r w:rsidRPr="002A0BEE">
        <w:rPr>
          <w:rFonts w:asciiTheme="majorHAnsi" w:eastAsia="Times New Roman" w:hAnsiTheme="majorHAnsi" w:cstheme="minorHAnsi"/>
          <w:b/>
          <w:szCs w:val="24"/>
          <w:lang w:val="sr-Latn-CS"/>
        </w:rPr>
        <w:t xml:space="preserve">) iznosi </w:t>
      </w:r>
      <w:r w:rsidR="0094402C" w:rsidRPr="002A0BEE">
        <w:rPr>
          <w:rFonts w:asciiTheme="majorHAnsi" w:eastAsia="Times New Roman" w:hAnsiTheme="majorHAnsi" w:cstheme="minorHAnsi"/>
          <w:b/>
          <w:szCs w:val="24"/>
          <w:lang w:val="sr-Latn-CS"/>
        </w:rPr>
        <w:t>186.968,40</w:t>
      </w:r>
      <w:r w:rsidRPr="002A0BEE">
        <w:rPr>
          <w:rFonts w:asciiTheme="majorHAnsi" w:eastAsia="Times New Roman" w:hAnsiTheme="majorHAnsi" w:cstheme="minorHAnsi"/>
          <w:b/>
          <w:szCs w:val="24"/>
          <w:lang w:val="sr-Latn-CS"/>
        </w:rPr>
        <w:t xml:space="preserve"> €.</w:t>
      </w:r>
    </w:p>
    <w:p w:rsidR="00695AB6" w:rsidRPr="002A0BEE" w:rsidRDefault="00695AB6" w:rsidP="00695AB6">
      <w:pPr>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 xml:space="preserve">Vrijednost proizvodnje </w:t>
      </w:r>
      <w:r w:rsidR="0094402C" w:rsidRPr="002A0BEE">
        <w:rPr>
          <w:rFonts w:asciiTheme="majorHAnsi" w:eastAsia="Times New Roman" w:hAnsiTheme="majorHAnsi" w:cstheme="minorHAnsi"/>
          <w:b/>
          <w:szCs w:val="24"/>
          <w:lang w:val="sr-Latn-CS"/>
        </w:rPr>
        <w:t>tehničko-</w:t>
      </w:r>
      <w:r w:rsidRPr="002A0BEE">
        <w:rPr>
          <w:rFonts w:asciiTheme="majorHAnsi" w:eastAsia="Times New Roman" w:hAnsiTheme="majorHAnsi" w:cstheme="minorHAnsi"/>
          <w:b/>
          <w:szCs w:val="24"/>
          <w:lang w:val="sr-Latn-CS"/>
        </w:rPr>
        <w:t>građevinskog kamena za 30 godina perioda eksploatacije (</w:t>
      </w:r>
      <w:r w:rsidR="0094402C" w:rsidRPr="002A0BEE">
        <w:rPr>
          <w:rFonts w:asciiTheme="majorHAnsi" w:eastAsia="Times New Roman" w:hAnsiTheme="majorHAnsi" w:cstheme="minorHAnsi"/>
          <w:b/>
          <w:szCs w:val="24"/>
          <w:lang w:val="sr-Latn-CS"/>
        </w:rPr>
        <w:t>212.730</w:t>
      </w:r>
      <w:r w:rsidRPr="002A0BEE">
        <w:rPr>
          <w:rFonts w:asciiTheme="majorHAnsi" w:eastAsia="Times New Roman" w:hAnsiTheme="majorHAnsi" w:cstheme="minorHAnsi"/>
          <w:b/>
          <w:szCs w:val="24"/>
          <w:lang w:val="sr-Latn-CS"/>
        </w:rPr>
        <w:t xml:space="preserve"> m</w:t>
      </w:r>
      <w:r w:rsidRPr="002A0BEE">
        <w:rPr>
          <w:rFonts w:asciiTheme="majorHAnsi" w:eastAsia="Times New Roman" w:hAnsiTheme="majorHAnsi" w:cstheme="minorHAnsi"/>
          <w:b/>
          <w:szCs w:val="24"/>
          <w:vertAlign w:val="superscript"/>
          <w:lang w:val="sr-Latn-CS"/>
        </w:rPr>
        <w:t>3</w:t>
      </w:r>
      <w:r w:rsidR="0094402C" w:rsidRPr="002A0BEE">
        <w:rPr>
          <w:rFonts w:asciiTheme="majorHAnsi" w:eastAsia="Times New Roman" w:hAnsiTheme="majorHAnsi" w:cstheme="minorHAnsi"/>
          <w:b/>
          <w:szCs w:val="24"/>
          <w:vertAlign w:val="superscript"/>
          <w:lang w:val="sr-Latn-CS"/>
        </w:rPr>
        <w:t xml:space="preserve"> </w:t>
      </w:r>
      <w:r w:rsidR="0094402C" w:rsidRPr="002A0BEE">
        <w:rPr>
          <w:rFonts w:asciiTheme="majorHAnsi" w:eastAsia="Times New Roman" w:hAnsiTheme="majorHAnsi" w:cstheme="minorHAnsi"/>
          <w:b/>
          <w:szCs w:val="24"/>
          <w:lang w:val="sr-Latn-CS"/>
        </w:rPr>
        <w:t>č.s.m.)</w:t>
      </w:r>
      <w:r w:rsidRPr="002A0BEE">
        <w:rPr>
          <w:rFonts w:asciiTheme="majorHAnsi" w:eastAsia="Times New Roman" w:hAnsiTheme="majorHAnsi" w:cstheme="minorHAnsi"/>
          <w:b/>
          <w:szCs w:val="24"/>
          <w:lang w:val="sr-Latn-CS"/>
        </w:rPr>
        <w:t xml:space="preserve"> iznosi </w:t>
      </w:r>
      <w:r w:rsidR="0094402C" w:rsidRPr="002A0BEE">
        <w:rPr>
          <w:rFonts w:asciiTheme="majorHAnsi" w:eastAsia="Times New Roman" w:hAnsiTheme="majorHAnsi" w:cstheme="minorHAnsi"/>
          <w:b/>
          <w:szCs w:val="24"/>
          <w:lang w:val="sr-Latn-CS"/>
        </w:rPr>
        <w:t>5</w:t>
      </w:r>
      <w:r w:rsidRPr="002A0BEE">
        <w:rPr>
          <w:rFonts w:asciiTheme="majorHAnsi" w:eastAsia="Times New Roman" w:hAnsiTheme="majorHAnsi" w:cstheme="minorHAnsi"/>
          <w:b/>
          <w:szCs w:val="24"/>
          <w:lang w:val="sr-Latn-CS"/>
        </w:rPr>
        <w:t>.</w:t>
      </w:r>
      <w:r w:rsidR="0094402C" w:rsidRPr="002A0BEE">
        <w:rPr>
          <w:rFonts w:asciiTheme="majorHAnsi" w:eastAsia="Times New Roman" w:hAnsiTheme="majorHAnsi" w:cstheme="minorHAnsi"/>
          <w:b/>
          <w:szCs w:val="24"/>
          <w:lang w:val="sr-Latn-CS"/>
        </w:rPr>
        <w:t>609</w:t>
      </w:r>
      <w:r w:rsidRPr="002A0BEE">
        <w:rPr>
          <w:rFonts w:asciiTheme="majorHAnsi" w:eastAsia="Times New Roman" w:hAnsiTheme="majorHAnsi" w:cstheme="minorHAnsi"/>
          <w:b/>
          <w:szCs w:val="24"/>
          <w:lang w:val="sr-Latn-CS"/>
        </w:rPr>
        <w:t>.0</w:t>
      </w:r>
      <w:r w:rsidR="0094402C" w:rsidRPr="002A0BEE">
        <w:rPr>
          <w:rFonts w:asciiTheme="majorHAnsi" w:eastAsia="Times New Roman" w:hAnsiTheme="majorHAnsi" w:cstheme="minorHAnsi"/>
          <w:b/>
          <w:szCs w:val="24"/>
          <w:lang w:val="sr-Latn-CS"/>
        </w:rPr>
        <w:t>51</w:t>
      </w:r>
      <w:r w:rsidRPr="002A0BEE">
        <w:rPr>
          <w:rFonts w:asciiTheme="majorHAnsi" w:eastAsia="Times New Roman" w:hAnsiTheme="majorHAnsi" w:cstheme="minorHAnsi"/>
          <w:b/>
          <w:szCs w:val="24"/>
          <w:lang w:val="sr-Latn-CS"/>
        </w:rPr>
        <w:t>,</w:t>
      </w:r>
      <w:r w:rsidR="0094402C" w:rsidRPr="002A0BEE">
        <w:rPr>
          <w:rFonts w:asciiTheme="majorHAnsi" w:eastAsia="Times New Roman" w:hAnsiTheme="majorHAnsi" w:cstheme="minorHAnsi"/>
          <w:b/>
          <w:szCs w:val="24"/>
          <w:lang w:val="sr-Latn-CS"/>
        </w:rPr>
        <w:t>91</w:t>
      </w:r>
      <w:r w:rsidRPr="002A0BEE">
        <w:rPr>
          <w:rFonts w:asciiTheme="majorHAnsi" w:eastAsia="Times New Roman" w:hAnsiTheme="majorHAnsi" w:cstheme="minorHAnsi"/>
          <w:b/>
          <w:szCs w:val="24"/>
          <w:lang w:val="sr-Latn-CS"/>
        </w:rPr>
        <w:t xml:space="preserve"> €.</w:t>
      </w:r>
    </w:p>
    <w:p w:rsidR="009248F4" w:rsidRPr="002A0BEE" w:rsidRDefault="009248F4" w:rsidP="00AF2D20">
      <w:pPr>
        <w:pStyle w:val="ListParagraph"/>
        <w:numPr>
          <w:ilvl w:val="0"/>
          <w:numId w:val="6"/>
        </w:numPr>
        <w:rPr>
          <w:rFonts w:asciiTheme="majorHAnsi" w:eastAsia="Times New Roman" w:hAnsiTheme="majorHAnsi" w:cstheme="minorHAnsi"/>
          <w:b/>
          <w:vanish/>
          <w:szCs w:val="24"/>
          <w:lang w:val="sr-Latn-CS"/>
        </w:rPr>
      </w:pPr>
    </w:p>
    <w:p w:rsidR="009248F4" w:rsidRPr="002A0BEE" w:rsidRDefault="009248F4" w:rsidP="00AF2D20">
      <w:pPr>
        <w:pStyle w:val="ListParagraph"/>
        <w:numPr>
          <w:ilvl w:val="0"/>
          <w:numId w:val="6"/>
        </w:numPr>
        <w:rPr>
          <w:rFonts w:asciiTheme="majorHAnsi" w:eastAsia="Times New Roman" w:hAnsiTheme="majorHAnsi" w:cstheme="minorHAnsi"/>
          <w:b/>
          <w:vanish/>
          <w:szCs w:val="24"/>
          <w:lang w:val="sr-Latn-CS"/>
        </w:rPr>
      </w:pPr>
    </w:p>
    <w:p w:rsidR="009248F4" w:rsidRPr="002A0BEE" w:rsidRDefault="009248F4" w:rsidP="00AF2D20">
      <w:pPr>
        <w:pStyle w:val="ListParagraph"/>
        <w:numPr>
          <w:ilvl w:val="0"/>
          <w:numId w:val="6"/>
        </w:numPr>
        <w:rPr>
          <w:rFonts w:asciiTheme="majorHAnsi" w:eastAsia="Times New Roman" w:hAnsiTheme="majorHAnsi" w:cstheme="minorHAnsi"/>
          <w:b/>
          <w:vanish/>
          <w:szCs w:val="24"/>
          <w:lang w:val="sr-Latn-CS"/>
        </w:rPr>
      </w:pPr>
    </w:p>
    <w:p w:rsidR="009248F4" w:rsidRPr="002A0BEE" w:rsidRDefault="009248F4" w:rsidP="00AF2D20">
      <w:pPr>
        <w:pStyle w:val="ListParagraph"/>
        <w:numPr>
          <w:ilvl w:val="0"/>
          <w:numId w:val="6"/>
        </w:numPr>
        <w:rPr>
          <w:rFonts w:asciiTheme="majorHAnsi" w:eastAsia="Times New Roman" w:hAnsiTheme="majorHAnsi" w:cstheme="minorHAnsi"/>
          <w:b/>
          <w:vanish/>
          <w:szCs w:val="24"/>
          <w:lang w:val="sr-Latn-CS"/>
        </w:rPr>
      </w:pPr>
    </w:p>
    <w:p w:rsidR="009248F4" w:rsidRPr="002A0BEE" w:rsidRDefault="009248F4" w:rsidP="00AF2D20">
      <w:pPr>
        <w:pStyle w:val="ListParagraph"/>
        <w:numPr>
          <w:ilvl w:val="1"/>
          <w:numId w:val="6"/>
        </w:numPr>
        <w:rPr>
          <w:rFonts w:asciiTheme="majorHAnsi" w:eastAsia="Times New Roman" w:hAnsiTheme="majorHAnsi" w:cstheme="minorHAnsi"/>
          <w:b/>
          <w:vanish/>
          <w:szCs w:val="24"/>
          <w:lang w:val="sr-Latn-CS"/>
        </w:rPr>
      </w:pPr>
    </w:p>
    <w:p w:rsidR="009248F4" w:rsidRPr="002A0BEE" w:rsidRDefault="009248F4" w:rsidP="00AF2D20">
      <w:pPr>
        <w:pStyle w:val="ListParagraph"/>
        <w:numPr>
          <w:ilvl w:val="1"/>
          <w:numId w:val="6"/>
        </w:numPr>
        <w:rPr>
          <w:rFonts w:asciiTheme="majorHAnsi" w:eastAsia="Times New Roman" w:hAnsiTheme="majorHAnsi" w:cstheme="minorHAnsi"/>
          <w:b/>
          <w:vanish/>
          <w:szCs w:val="24"/>
          <w:lang w:val="sr-Latn-CS"/>
        </w:rPr>
      </w:pPr>
    </w:p>
    <w:p w:rsidR="009248F4" w:rsidRPr="002A0BEE" w:rsidRDefault="009248F4" w:rsidP="00AF2D20">
      <w:pPr>
        <w:pStyle w:val="ListParagraph"/>
        <w:numPr>
          <w:ilvl w:val="1"/>
          <w:numId w:val="6"/>
        </w:numPr>
        <w:rPr>
          <w:rFonts w:asciiTheme="majorHAnsi" w:eastAsia="Times New Roman" w:hAnsiTheme="majorHAnsi" w:cstheme="minorHAnsi"/>
          <w:b/>
          <w:vanish/>
          <w:szCs w:val="24"/>
          <w:lang w:val="sr-Latn-CS"/>
        </w:rPr>
      </w:pPr>
    </w:p>
    <w:p w:rsidR="00957AD0" w:rsidRPr="002A0BEE" w:rsidRDefault="00957AD0" w:rsidP="00AF2D20">
      <w:pPr>
        <w:pStyle w:val="ListParagraph"/>
        <w:numPr>
          <w:ilvl w:val="0"/>
          <w:numId w:val="6"/>
        </w:numPr>
        <w:rPr>
          <w:rFonts w:asciiTheme="majorHAnsi" w:eastAsia="Times New Roman" w:hAnsiTheme="majorHAnsi" w:cstheme="minorHAnsi"/>
          <w:b/>
          <w:vanish/>
          <w:szCs w:val="24"/>
          <w:lang w:val="sr-Latn-CS"/>
        </w:rPr>
      </w:pPr>
    </w:p>
    <w:p w:rsidR="00957AD0" w:rsidRPr="002A0BEE" w:rsidRDefault="00957AD0" w:rsidP="00AF2D20">
      <w:pPr>
        <w:pStyle w:val="ListParagraph"/>
        <w:numPr>
          <w:ilvl w:val="0"/>
          <w:numId w:val="6"/>
        </w:numPr>
        <w:rPr>
          <w:rFonts w:asciiTheme="majorHAnsi" w:eastAsia="Times New Roman" w:hAnsiTheme="majorHAnsi" w:cstheme="minorHAnsi"/>
          <w:b/>
          <w:vanish/>
          <w:szCs w:val="24"/>
          <w:lang w:val="sr-Latn-CS"/>
        </w:rPr>
      </w:pPr>
    </w:p>
    <w:p w:rsidR="00957AD0" w:rsidRPr="002A0BEE" w:rsidRDefault="00957AD0" w:rsidP="00AF2D20">
      <w:pPr>
        <w:pStyle w:val="ListParagraph"/>
        <w:numPr>
          <w:ilvl w:val="0"/>
          <w:numId w:val="6"/>
        </w:numPr>
        <w:rPr>
          <w:rFonts w:asciiTheme="majorHAnsi" w:eastAsia="Times New Roman" w:hAnsiTheme="majorHAnsi" w:cstheme="minorHAnsi"/>
          <w:b/>
          <w:vanish/>
          <w:szCs w:val="24"/>
          <w:lang w:val="sr-Latn-CS"/>
        </w:rPr>
      </w:pPr>
    </w:p>
    <w:p w:rsidR="00957AD0" w:rsidRPr="002A0BEE" w:rsidRDefault="00957AD0" w:rsidP="00AF2D20">
      <w:pPr>
        <w:pStyle w:val="ListParagraph"/>
        <w:numPr>
          <w:ilvl w:val="0"/>
          <w:numId w:val="6"/>
        </w:numPr>
        <w:rPr>
          <w:rFonts w:asciiTheme="majorHAnsi" w:eastAsia="Times New Roman" w:hAnsiTheme="majorHAnsi" w:cstheme="minorHAnsi"/>
          <w:b/>
          <w:vanish/>
          <w:szCs w:val="24"/>
          <w:lang w:val="sr-Latn-CS"/>
        </w:rPr>
      </w:pPr>
    </w:p>
    <w:p w:rsidR="00957AD0" w:rsidRPr="002A0BEE" w:rsidRDefault="00957AD0" w:rsidP="00AF2D20">
      <w:pPr>
        <w:pStyle w:val="ListParagraph"/>
        <w:numPr>
          <w:ilvl w:val="1"/>
          <w:numId w:val="6"/>
        </w:numPr>
        <w:rPr>
          <w:rFonts w:asciiTheme="majorHAnsi" w:eastAsia="Times New Roman" w:hAnsiTheme="majorHAnsi" w:cstheme="minorHAnsi"/>
          <w:b/>
          <w:vanish/>
          <w:szCs w:val="24"/>
          <w:lang w:val="sr-Latn-CS"/>
        </w:rPr>
      </w:pPr>
    </w:p>
    <w:p w:rsidR="00957AD0" w:rsidRPr="002A0BEE" w:rsidRDefault="00957AD0" w:rsidP="00AF2D20">
      <w:pPr>
        <w:pStyle w:val="ListParagraph"/>
        <w:numPr>
          <w:ilvl w:val="1"/>
          <w:numId w:val="6"/>
        </w:numPr>
        <w:rPr>
          <w:rFonts w:asciiTheme="majorHAnsi" w:eastAsia="Times New Roman" w:hAnsiTheme="majorHAnsi" w:cstheme="minorHAnsi"/>
          <w:b/>
          <w:vanish/>
          <w:szCs w:val="24"/>
          <w:lang w:val="sr-Latn-CS"/>
        </w:rPr>
      </w:pPr>
    </w:p>
    <w:p w:rsidR="00957AD0" w:rsidRPr="002A0BEE" w:rsidRDefault="00957AD0" w:rsidP="00AF2D20">
      <w:pPr>
        <w:pStyle w:val="ListParagraph"/>
        <w:numPr>
          <w:ilvl w:val="1"/>
          <w:numId w:val="6"/>
        </w:numPr>
        <w:rPr>
          <w:rFonts w:asciiTheme="majorHAnsi" w:eastAsia="Times New Roman" w:hAnsiTheme="majorHAnsi" w:cstheme="minorHAnsi"/>
          <w:b/>
          <w:vanish/>
          <w:szCs w:val="24"/>
          <w:lang w:val="sr-Latn-CS"/>
        </w:rPr>
      </w:pPr>
    </w:p>
    <w:p w:rsidR="00957AD0" w:rsidRPr="002A0BEE" w:rsidRDefault="00957AD0" w:rsidP="0055031D">
      <w:pPr>
        <w:pStyle w:val="ListParagraph"/>
        <w:numPr>
          <w:ilvl w:val="1"/>
          <w:numId w:val="47"/>
        </w:numPr>
        <w:rPr>
          <w:rFonts w:asciiTheme="majorHAnsi" w:eastAsia="Times New Roman" w:hAnsiTheme="majorHAnsi" w:cstheme="minorHAnsi"/>
          <w:b/>
          <w:szCs w:val="24"/>
          <w:lang w:val="sr-Latn-CS"/>
        </w:rPr>
      </w:pPr>
      <w:bookmarkStart w:id="50" w:name="_Toc401959416"/>
      <w:bookmarkStart w:id="51" w:name="_Toc401959509"/>
      <w:r w:rsidRPr="002A0BEE">
        <w:rPr>
          <w:rFonts w:asciiTheme="majorHAnsi" w:eastAsia="Times New Roman" w:hAnsiTheme="majorHAnsi" w:cstheme="minorHAnsi"/>
          <w:b/>
          <w:szCs w:val="24"/>
          <w:lang w:val="sr-Latn-CS"/>
        </w:rPr>
        <w:t>Kapacitet površinskog kopa</w:t>
      </w:r>
      <w:bookmarkEnd w:id="50"/>
      <w:bookmarkEnd w:id="51"/>
    </w:p>
    <w:p w:rsidR="00957AD0" w:rsidRPr="002A0BEE" w:rsidRDefault="00957AD0" w:rsidP="00AF2D20">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Ukupna površina prostora za koji se traži koncesija za eksploataciju arhitektonsko-građevinskog i tehničko-građevinskog kamenakamena iznosi  8,82 ha.</w:t>
      </w:r>
    </w:p>
    <w:p w:rsidR="00957AD0" w:rsidRPr="002A0BEE" w:rsidRDefault="00957AD0" w:rsidP="00AF2D20">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Koncesija se daje na period od 30 godina.</w:t>
      </w:r>
    </w:p>
    <w:p w:rsidR="0039461C" w:rsidRDefault="0039461C" w:rsidP="00AF2D20">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 xml:space="preserve">Proizvodnja arhitektonsko-građevinskog (ukrasnog) i tehnićko-građevinskog kamena ostvarena u proteklih deset godine od strane </w:t>
      </w:r>
      <w:r w:rsidR="00317842" w:rsidRPr="002A0BEE">
        <w:rPr>
          <w:rFonts w:asciiTheme="majorHAnsi" w:eastAsia="Times New Roman" w:hAnsiTheme="majorHAnsi" w:cstheme="minorHAnsi"/>
          <w:szCs w:val="24"/>
          <w:lang w:val="sr-Latn-CS"/>
        </w:rPr>
        <w:t>predhodnog</w:t>
      </w:r>
      <w:r w:rsidRPr="002A0BEE">
        <w:rPr>
          <w:rFonts w:asciiTheme="majorHAnsi" w:eastAsia="Times New Roman" w:hAnsiTheme="majorHAnsi" w:cstheme="minorHAnsi"/>
          <w:szCs w:val="24"/>
          <w:lang w:val="sr-Latn-CS"/>
        </w:rPr>
        <w:t xml:space="preserve"> koncesionara, prikazana je u tabeli.</w:t>
      </w:r>
    </w:p>
    <w:p w:rsidR="002A0BEE" w:rsidRDefault="002A0BEE" w:rsidP="00AF2D20">
      <w:pPr>
        <w:jc w:val="both"/>
        <w:rPr>
          <w:rFonts w:asciiTheme="majorHAnsi" w:eastAsia="Times New Roman" w:hAnsiTheme="majorHAnsi" w:cstheme="minorHAnsi"/>
          <w:szCs w:val="24"/>
          <w:lang w:val="sr-Latn-CS"/>
        </w:rPr>
      </w:pPr>
    </w:p>
    <w:p w:rsidR="002A0BEE" w:rsidRDefault="002A0BEE" w:rsidP="00AF2D20">
      <w:pPr>
        <w:jc w:val="both"/>
        <w:rPr>
          <w:rFonts w:asciiTheme="majorHAnsi" w:eastAsia="Times New Roman" w:hAnsiTheme="majorHAnsi" w:cstheme="minorHAnsi"/>
          <w:szCs w:val="24"/>
          <w:lang w:val="sr-Latn-CS"/>
        </w:rPr>
      </w:pPr>
    </w:p>
    <w:p w:rsidR="002A0BEE" w:rsidRDefault="002A0BEE" w:rsidP="00AF2D20">
      <w:pPr>
        <w:jc w:val="both"/>
        <w:rPr>
          <w:rFonts w:asciiTheme="majorHAnsi" w:eastAsia="Times New Roman" w:hAnsiTheme="majorHAnsi" w:cstheme="minorHAnsi"/>
          <w:szCs w:val="24"/>
          <w:lang w:val="sr-Latn-CS"/>
        </w:rPr>
      </w:pPr>
    </w:p>
    <w:p w:rsidR="002A0BEE" w:rsidRPr="002A0BEE" w:rsidRDefault="002A0BEE" w:rsidP="00AF2D20">
      <w:pPr>
        <w:jc w:val="both"/>
        <w:rPr>
          <w:rFonts w:asciiTheme="majorHAnsi" w:eastAsia="Times New Roman" w:hAnsiTheme="majorHAnsi" w:cstheme="minorHAnsi"/>
          <w:szCs w:val="24"/>
          <w:lang w:val="sr-Latn-CS"/>
        </w:rPr>
      </w:pPr>
    </w:p>
    <w:tbl>
      <w:tblPr>
        <w:tblStyle w:val="LightLis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3"/>
        <w:gridCol w:w="1415"/>
        <w:gridCol w:w="1416"/>
        <w:gridCol w:w="1415"/>
        <w:gridCol w:w="1416"/>
        <w:gridCol w:w="1416"/>
        <w:gridCol w:w="1415"/>
      </w:tblGrid>
      <w:tr w:rsidR="00985F02" w:rsidRPr="002A0BEE" w:rsidTr="00A50B2C">
        <w:trPr>
          <w:cnfStyle w:val="100000000000"/>
        </w:trPr>
        <w:tc>
          <w:tcPr>
            <w:cnfStyle w:val="001000000000"/>
            <w:tcW w:w="1104" w:type="dxa"/>
          </w:tcPr>
          <w:p w:rsidR="00985F02" w:rsidRPr="002A0BEE" w:rsidRDefault="00985F02" w:rsidP="00A50B2C">
            <w:pPr>
              <w:jc w:val="center"/>
              <w:rPr>
                <w:rFonts w:asciiTheme="majorHAnsi" w:hAnsiTheme="majorHAnsi" w:cstheme="minorHAnsi"/>
                <w:sz w:val="24"/>
                <w:szCs w:val="24"/>
                <w:lang w:val="sr-Latn-CS"/>
              </w:rPr>
            </w:pPr>
            <w:r w:rsidRPr="002A0BEE">
              <w:rPr>
                <w:rFonts w:asciiTheme="majorHAnsi" w:hAnsiTheme="majorHAnsi" w:cstheme="minorHAnsi"/>
                <w:sz w:val="24"/>
                <w:szCs w:val="24"/>
                <w:lang w:val="sr-Latn-CS"/>
              </w:rPr>
              <w:t>G</w:t>
            </w:r>
            <w:r w:rsidR="00256F04" w:rsidRPr="002A0BEE">
              <w:rPr>
                <w:rFonts w:asciiTheme="majorHAnsi" w:hAnsiTheme="majorHAnsi" w:cstheme="minorHAnsi"/>
                <w:sz w:val="24"/>
                <w:szCs w:val="24"/>
                <w:lang w:val="sr-Latn-CS"/>
              </w:rPr>
              <w:t>odina</w:t>
            </w:r>
          </w:p>
        </w:tc>
        <w:tc>
          <w:tcPr>
            <w:tcW w:w="1401" w:type="dxa"/>
          </w:tcPr>
          <w:p w:rsidR="00985F02" w:rsidRPr="002A0BEE" w:rsidRDefault="00985F02" w:rsidP="00A50B2C">
            <w:pPr>
              <w:jc w:val="center"/>
              <w:cnfStyle w:val="1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Ugovorena proizvodnja a-g kamena (m</w:t>
            </w:r>
            <w:r w:rsidRPr="002A0BEE">
              <w:rPr>
                <w:rFonts w:asciiTheme="majorHAnsi" w:hAnsiTheme="majorHAnsi" w:cstheme="minorHAnsi"/>
                <w:sz w:val="24"/>
                <w:szCs w:val="24"/>
                <w:vertAlign w:val="superscript"/>
                <w:lang w:val="sr-Latn-CS"/>
              </w:rPr>
              <w:t>3</w:t>
            </w:r>
            <w:r w:rsidRPr="002A0BEE">
              <w:rPr>
                <w:rFonts w:asciiTheme="majorHAnsi" w:hAnsiTheme="majorHAnsi" w:cstheme="minorHAnsi"/>
                <w:sz w:val="24"/>
                <w:szCs w:val="24"/>
                <w:lang w:val="sr-Latn-CS"/>
              </w:rPr>
              <w:t>)</w:t>
            </w:r>
          </w:p>
        </w:tc>
        <w:tc>
          <w:tcPr>
            <w:tcW w:w="1360" w:type="dxa"/>
          </w:tcPr>
          <w:p w:rsidR="00985F02" w:rsidRPr="002A0BEE" w:rsidRDefault="00256F04" w:rsidP="00A50B2C">
            <w:pPr>
              <w:jc w:val="center"/>
              <w:cnfStyle w:val="1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Ostvarena proizvodnja a-g kamen (m</w:t>
            </w:r>
            <w:r w:rsidRPr="002A0BEE">
              <w:rPr>
                <w:rFonts w:asciiTheme="majorHAnsi" w:hAnsiTheme="majorHAnsi" w:cstheme="minorHAnsi"/>
                <w:sz w:val="24"/>
                <w:szCs w:val="24"/>
                <w:vertAlign w:val="superscript"/>
                <w:lang w:val="sr-Latn-CS"/>
              </w:rPr>
              <w:t>3</w:t>
            </w:r>
            <w:r w:rsidRPr="002A0BEE">
              <w:rPr>
                <w:rFonts w:asciiTheme="majorHAnsi" w:hAnsiTheme="majorHAnsi" w:cstheme="minorHAnsi"/>
                <w:sz w:val="24"/>
                <w:szCs w:val="24"/>
                <w:lang w:val="sr-Latn-CS"/>
              </w:rPr>
              <w:t>)</w:t>
            </w:r>
          </w:p>
        </w:tc>
        <w:tc>
          <w:tcPr>
            <w:tcW w:w="939" w:type="dxa"/>
          </w:tcPr>
          <w:p w:rsidR="00985F02" w:rsidRPr="002A0BEE" w:rsidRDefault="00256F04" w:rsidP="00A50B2C">
            <w:pPr>
              <w:jc w:val="center"/>
              <w:cnfStyle w:val="1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Procenat realizovane proizvodnje (%)</w:t>
            </w:r>
          </w:p>
        </w:tc>
        <w:tc>
          <w:tcPr>
            <w:tcW w:w="1219" w:type="dxa"/>
          </w:tcPr>
          <w:p w:rsidR="00985F02" w:rsidRPr="002A0BEE" w:rsidRDefault="00256F04" w:rsidP="00256F04">
            <w:pPr>
              <w:jc w:val="center"/>
              <w:cnfStyle w:val="1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Ugovorena proizvodnja t-g kamena (m</w:t>
            </w:r>
            <w:r w:rsidRPr="002A0BEE">
              <w:rPr>
                <w:rFonts w:asciiTheme="majorHAnsi" w:hAnsiTheme="majorHAnsi" w:cstheme="minorHAnsi"/>
                <w:sz w:val="24"/>
                <w:szCs w:val="24"/>
                <w:vertAlign w:val="superscript"/>
                <w:lang w:val="sr-Latn-CS"/>
              </w:rPr>
              <w:t>3</w:t>
            </w:r>
            <w:r w:rsidRPr="002A0BEE">
              <w:rPr>
                <w:rFonts w:asciiTheme="majorHAnsi" w:hAnsiTheme="majorHAnsi" w:cstheme="minorHAnsi"/>
                <w:sz w:val="24"/>
                <w:szCs w:val="24"/>
                <w:lang w:val="sr-Latn-CS"/>
              </w:rPr>
              <w:t>)</w:t>
            </w:r>
          </w:p>
        </w:tc>
        <w:tc>
          <w:tcPr>
            <w:tcW w:w="1219" w:type="dxa"/>
          </w:tcPr>
          <w:p w:rsidR="00985F02" w:rsidRPr="002A0BEE" w:rsidRDefault="00256F04" w:rsidP="00A50B2C">
            <w:pPr>
              <w:jc w:val="center"/>
              <w:cnfStyle w:val="1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Ostvarena proizvodnja a-g kamen (m</w:t>
            </w:r>
            <w:r w:rsidRPr="002A0BEE">
              <w:rPr>
                <w:rFonts w:asciiTheme="majorHAnsi" w:hAnsiTheme="majorHAnsi" w:cstheme="minorHAnsi"/>
                <w:sz w:val="24"/>
                <w:szCs w:val="24"/>
                <w:vertAlign w:val="superscript"/>
                <w:lang w:val="sr-Latn-CS"/>
              </w:rPr>
              <w:t>3</w:t>
            </w:r>
            <w:r w:rsidRPr="002A0BEE">
              <w:rPr>
                <w:rFonts w:asciiTheme="majorHAnsi" w:hAnsiTheme="majorHAnsi" w:cstheme="minorHAnsi"/>
                <w:sz w:val="24"/>
                <w:szCs w:val="24"/>
                <w:lang w:val="sr-Latn-CS"/>
              </w:rPr>
              <w:t>)</w:t>
            </w:r>
          </w:p>
        </w:tc>
        <w:tc>
          <w:tcPr>
            <w:tcW w:w="1107" w:type="dxa"/>
          </w:tcPr>
          <w:p w:rsidR="00985F02" w:rsidRPr="002A0BEE" w:rsidRDefault="00256F04" w:rsidP="00A50B2C">
            <w:pPr>
              <w:jc w:val="center"/>
              <w:cnfStyle w:val="1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procenat realizovane proizvodnje (%)</w:t>
            </w:r>
          </w:p>
        </w:tc>
      </w:tr>
      <w:tr w:rsidR="00985F02" w:rsidRPr="002A0BEE" w:rsidTr="00A50B2C">
        <w:trPr>
          <w:cnfStyle w:val="000000100000"/>
        </w:trPr>
        <w:tc>
          <w:tcPr>
            <w:cnfStyle w:val="001000000000"/>
            <w:tcW w:w="1104" w:type="dxa"/>
          </w:tcPr>
          <w:p w:rsidR="00985F02" w:rsidRPr="002A0BEE" w:rsidRDefault="00985F02" w:rsidP="00A50B2C">
            <w:pPr>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2005.</w:t>
            </w:r>
          </w:p>
        </w:tc>
        <w:tc>
          <w:tcPr>
            <w:tcW w:w="1401"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3.000</w:t>
            </w:r>
          </w:p>
        </w:tc>
        <w:tc>
          <w:tcPr>
            <w:tcW w:w="1360"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2.697</w:t>
            </w:r>
          </w:p>
        </w:tc>
        <w:tc>
          <w:tcPr>
            <w:tcW w:w="93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89,9</w:t>
            </w:r>
          </w:p>
        </w:tc>
        <w:tc>
          <w:tcPr>
            <w:tcW w:w="1219" w:type="dxa"/>
          </w:tcPr>
          <w:p w:rsidR="00985F02" w:rsidRPr="002A0BEE" w:rsidRDefault="00985F02" w:rsidP="00A50B2C">
            <w:pPr>
              <w:jc w:val="center"/>
              <w:cnfStyle w:val="000000100000"/>
              <w:rPr>
                <w:rFonts w:asciiTheme="majorHAnsi" w:hAnsiTheme="majorHAnsi" w:cstheme="minorHAnsi"/>
                <w:sz w:val="24"/>
                <w:szCs w:val="24"/>
                <w:lang w:val="sr-Latn-CS"/>
              </w:rPr>
            </w:pPr>
          </w:p>
        </w:tc>
        <w:tc>
          <w:tcPr>
            <w:tcW w:w="1219" w:type="dxa"/>
          </w:tcPr>
          <w:p w:rsidR="00985F02" w:rsidRPr="002A0BEE" w:rsidRDefault="00985F02" w:rsidP="00A50B2C">
            <w:pPr>
              <w:jc w:val="center"/>
              <w:cnfStyle w:val="000000100000"/>
              <w:rPr>
                <w:rFonts w:asciiTheme="majorHAnsi" w:hAnsiTheme="majorHAnsi" w:cstheme="minorHAnsi"/>
                <w:sz w:val="24"/>
                <w:szCs w:val="24"/>
                <w:lang w:val="sr-Latn-CS"/>
              </w:rPr>
            </w:pPr>
          </w:p>
        </w:tc>
        <w:tc>
          <w:tcPr>
            <w:tcW w:w="1107" w:type="dxa"/>
          </w:tcPr>
          <w:p w:rsidR="00985F02" w:rsidRPr="002A0BEE" w:rsidRDefault="00985F02" w:rsidP="00A50B2C">
            <w:pPr>
              <w:jc w:val="center"/>
              <w:cnfStyle w:val="000000100000"/>
              <w:rPr>
                <w:rFonts w:asciiTheme="majorHAnsi" w:hAnsiTheme="majorHAnsi" w:cstheme="minorHAnsi"/>
                <w:sz w:val="24"/>
                <w:szCs w:val="24"/>
                <w:lang w:val="sr-Latn-CS"/>
              </w:rPr>
            </w:pPr>
          </w:p>
        </w:tc>
      </w:tr>
      <w:tr w:rsidR="00985F02" w:rsidRPr="002A0BEE" w:rsidTr="00A50B2C">
        <w:tc>
          <w:tcPr>
            <w:cnfStyle w:val="001000000000"/>
            <w:tcW w:w="1104" w:type="dxa"/>
          </w:tcPr>
          <w:p w:rsidR="00985F02" w:rsidRPr="002A0BEE" w:rsidRDefault="00985F02" w:rsidP="00A50B2C">
            <w:pPr>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2006.</w:t>
            </w:r>
          </w:p>
        </w:tc>
        <w:tc>
          <w:tcPr>
            <w:tcW w:w="1401"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3.000</w:t>
            </w:r>
          </w:p>
        </w:tc>
        <w:tc>
          <w:tcPr>
            <w:tcW w:w="1360"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2.223</w:t>
            </w:r>
          </w:p>
        </w:tc>
        <w:tc>
          <w:tcPr>
            <w:tcW w:w="93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74,1</w:t>
            </w: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p>
        </w:tc>
        <w:tc>
          <w:tcPr>
            <w:tcW w:w="1107" w:type="dxa"/>
          </w:tcPr>
          <w:p w:rsidR="00985F02" w:rsidRPr="002A0BEE" w:rsidRDefault="00985F02" w:rsidP="00A50B2C">
            <w:pPr>
              <w:jc w:val="center"/>
              <w:cnfStyle w:val="000000000000"/>
              <w:rPr>
                <w:rFonts w:asciiTheme="majorHAnsi" w:hAnsiTheme="majorHAnsi" w:cstheme="minorHAnsi"/>
                <w:sz w:val="24"/>
                <w:szCs w:val="24"/>
                <w:lang w:val="sr-Latn-CS"/>
              </w:rPr>
            </w:pPr>
          </w:p>
        </w:tc>
      </w:tr>
      <w:tr w:rsidR="00985F02" w:rsidRPr="002A0BEE" w:rsidTr="00A50B2C">
        <w:trPr>
          <w:cnfStyle w:val="000000100000"/>
        </w:trPr>
        <w:tc>
          <w:tcPr>
            <w:cnfStyle w:val="001000000000"/>
            <w:tcW w:w="1104" w:type="dxa"/>
          </w:tcPr>
          <w:p w:rsidR="00985F02" w:rsidRPr="002A0BEE" w:rsidRDefault="00985F02" w:rsidP="00A50B2C">
            <w:pPr>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2007.</w:t>
            </w:r>
          </w:p>
        </w:tc>
        <w:tc>
          <w:tcPr>
            <w:tcW w:w="1401" w:type="dxa"/>
          </w:tcPr>
          <w:p w:rsidR="00985F02" w:rsidRPr="002A0BEE" w:rsidRDefault="00985F02" w:rsidP="00985F02">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 xml:space="preserve">3.000 </w:t>
            </w:r>
          </w:p>
        </w:tc>
        <w:tc>
          <w:tcPr>
            <w:tcW w:w="1360"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2.880</w:t>
            </w:r>
          </w:p>
        </w:tc>
        <w:tc>
          <w:tcPr>
            <w:tcW w:w="93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96</w:t>
            </w:r>
          </w:p>
        </w:tc>
        <w:tc>
          <w:tcPr>
            <w:tcW w:w="1219" w:type="dxa"/>
          </w:tcPr>
          <w:p w:rsidR="00985F02" w:rsidRPr="002A0BEE" w:rsidRDefault="00985F02" w:rsidP="00985F02">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 xml:space="preserve">15.300 </w:t>
            </w:r>
          </w:p>
        </w:tc>
        <w:tc>
          <w:tcPr>
            <w:tcW w:w="1219" w:type="dxa"/>
            <w:tcBorders>
              <w:top w:val="single" w:sz="4" w:space="0" w:color="auto"/>
              <w:bottom w:val="single" w:sz="4" w:space="0" w:color="auto"/>
            </w:tcBorders>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23.127</w:t>
            </w:r>
          </w:p>
        </w:tc>
        <w:tc>
          <w:tcPr>
            <w:tcW w:w="1107"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151</w:t>
            </w:r>
          </w:p>
        </w:tc>
      </w:tr>
      <w:tr w:rsidR="00985F02" w:rsidRPr="002A0BEE" w:rsidTr="00A50B2C">
        <w:tc>
          <w:tcPr>
            <w:cnfStyle w:val="001000000000"/>
            <w:tcW w:w="1104" w:type="dxa"/>
          </w:tcPr>
          <w:p w:rsidR="00985F02" w:rsidRPr="002A0BEE" w:rsidRDefault="00985F02" w:rsidP="00A50B2C">
            <w:pPr>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2008.</w:t>
            </w:r>
          </w:p>
        </w:tc>
        <w:tc>
          <w:tcPr>
            <w:tcW w:w="1401"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3.000</w:t>
            </w:r>
          </w:p>
        </w:tc>
        <w:tc>
          <w:tcPr>
            <w:tcW w:w="1360"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2.500</w:t>
            </w:r>
          </w:p>
        </w:tc>
        <w:tc>
          <w:tcPr>
            <w:tcW w:w="93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83</w:t>
            </w: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15.300</w:t>
            </w: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8.864</w:t>
            </w:r>
          </w:p>
        </w:tc>
        <w:tc>
          <w:tcPr>
            <w:tcW w:w="1107"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58</w:t>
            </w:r>
          </w:p>
        </w:tc>
      </w:tr>
      <w:tr w:rsidR="00985F02" w:rsidRPr="002A0BEE" w:rsidTr="00A50B2C">
        <w:trPr>
          <w:cnfStyle w:val="000000100000"/>
        </w:trPr>
        <w:tc>
          <w:tcPr>
            <w:cnfStyle w:val="001000000000"/>
            <w:tcW w:w="1104" w:type="dxa"/>
          </w:tcPr>
          <w:p w:rsidR="00985F02" w:rsidRPr="002A0BEE" w:rsidRDefault="00985F02" w:rsidP="00A50B2C">
            <w:pPr>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2009.</w:t>
            </w:r>
          </w:p>
        </w:tc>
        <w:tc>
          <w:tcPr>
            <w:tcW w:w="1401"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3.000</w:t>
            </w:r>
          </w:p>
        </w:tc>
        <w:tc>
          <w:tcPr>
            <w:tcW w:w="1360"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2.130</w:t>
            </w:r>
          </w:p>
        </w:tc>
        <w:tc>
          <w:tcPr>
            <w:tcW w:w="93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71</w:t>
            </w:r>
          </w:p>
        </w:tc>
        <w:tc>
          <w:tcPr>
            <w:tcW w:w="121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15.300</w:t>
            </w:r>
          </w:p>
        </w:tc>
        <w:tc>
          <w:tcPr>
            <w:tcW w:w="121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9.350</w:t>
            </w:r>
          </w:p>
        </w:tc>
        <w:tc>
          <w:tcPr>
            <w:tcW w:w="1107"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61</w:t>
            </w:r>
          </w:p>
        </w:tc>
      </w:tr>
      <w:tr w:rsidR="00985F02" w:rsidRPr="002A0BEE" w:rsidTr="00A50B2C">
        <w:tc>
          <w:tcPr>
            <w:cnfStyle w:val="001000000000"/>
            <w:tcW w:w="1104" w:type="dxa"/>
          </w:tcPr>
          <w:p w:rsidR="00985F02" w:rsidRPr="002A0BEE" w:rsidRDefault="00985F02" w:rsidP="00A50B2C">
            <w:pPr>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2010.</w:t>
            </w:r>
          </w:p>
        </w:tc>
        <w:tc>
          <w:tcPr>
            <w:tcW w:w="1401"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3.000</w:t>
            </w:r>
          </w:p>
        </w:tc>
        <w:tc>
          <w:tcPr>
            <w:tcW w:w="1360"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2.700</w:t>
            </w:r>
          </w:p>
        </w:tc>
        <w:tc>
          <w:tcPr>
            <w:tcW w:w="93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90</w:t>
            </w: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7.650</w:t>
            </w: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15.500</w:t>
            </w:r>
          </w:p>
        </w:tc>
        <w:tc>
          <w:tcPr>
            <w:tcW w:w="1107"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203</w:t>
            </w:r>
          </w:p>
        </w:tc>
      </w:tr>
      <w:tr w:rsidR="00985F02" w:rsidRPr="002A0BEE" w:rsidTr="00A50B2C">
        <w:trPr>
          <w:cnfStyle w:val="000000100000"/>
        </w:trPr>
        <w:tc>
          <w:tcPr>
            <w:cnfStyle w:val="001000000000"/>
            <w:tcW w:w="1104" w:type="dxa"/>
          </w:tcPr>
          <w:p w:rsidR="00985F02" w:rsidRPr="002A0BEE" w:rsidRDefault="00985F02" w:rsidP="00A50B2C">
            <w:pPr>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2011.</w:t>
            </w:r>
          </w:p>
        </w:tc>
        <w:tc>
          <w:tcPr>
            <w:tcW w:w="1401"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2.500</w:t>
            </w:r>
          </w:p>
        </w:tc>
        <w:tc>
          <w:tcPr>
            <w:tcW w:w="1360"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2.361</w:t>
            </w:r>
          </w:p>
        </w:tc>
        <w:tc>
          <w:tcPr>
            <w:tcW w:w="93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94</w:t>
            </w:r>
          </w:p>
        </w:tc>
        <w:tc>
          <w:tcPr>
            <w:tcW w:w="121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15.300</w:t>
            </w:r>
          </w:p>
        </w:tc>
        <w:tc>
          <w:tcPr>
            <w:tcW w:w="121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13.187</w:t>
            </w:r>
          </w:p>
        </w:tc>
        <w:tc>
          <w:tcPr>
            <w:tcW w:w="1107"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86</w:t>
            </w:r>
          </w:p>
        </w:tc>
      </w:tr>
      <w:tr w:rsidR="00985F02" w:rsidRPr="002A0BEE" w:rsidTr="00A50B2C">
        <w:tc>
          <w:tcPr>
            <w:cnfStyle w:val="001000000000"/>
            <w:tcW w:w="1104" w:type="dxa"/>
          </w:tcPr>
          <w:p w:rsidR="00985F02" w:rsidRPr="002A0BEE" w:rsidRDefault="00985F02" w:rsidP="00A50B2C">
            <w:pPr>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2012.</w:t>
            </w:r>
          </w:p>
        </w:tc>
        <w:tc>
          <w:tcPr>
            <w:tcW w:w="1401"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2.500</w:t>
            </w:r>
          </w:p>
        </w:tc>
        <w:tc>
          <w:tcPr>
            <w:tcW w:w="1360"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2.451</w:t>
            </w:r>
          </w:p>
        </w:tc>
        <w:tc>
          <w:tcPr>
            <w:tcW w:w="93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98</w:t>
            </w: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15.300</w:t>
            </w: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9.735</w:t>
            </w:r>
          </w:p>
        </w:tc>
        <w:tc>
          <w:tcPr>
            <w:tcW w:w="1107"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64</w:t>
            </w:r>
          </w:p>
        </w:tc>
      </w:tr>
      <w:tr w:rsidR="00985F02" w:rsidRPr="002A0BEE" w:rsidTr="00A50B2C">
        <w:trPr>
          <w:cnfStyle w:val="000000100000"/>
        </w:trPr>
        <w:tc>
          <w:tcPr>
            <w:cnfStyle w:val="001000000000"/>
            <w:tcW w:w="1104" w:type="dxa"/>
          </w:tcPr>
          <w:p w:rsidR="00985F02" w:rsidRPr="002A0BEE" w:rsidRDefault="00985F02" w:rsidP="00A50B2C">
            <w:pPr>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2013.</w:t>
            </w:r>
          </w:p>
        </w:tc>
        <w:tc>
          <w:tcPr>
            <w:tcW w:w="1401"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2.500</w:t>
            </w:r>
          </w:p>
        </w:tc>
        <w:tc>
          <w:tcPr>
            <w:tcW w:w="1360"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2.396,047</w:t>
            </w:r>
          </w:p>
        </w:tc>
        <w:tc>
          <w:tcPr>
            <w:tcW w:w="93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95,84</w:t>
            </w:r>
          </w:p>
        </w:tc>
        <w:tc>
          <w:tcPr>
            <w:tcW w:w="121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15.300</w:t>
            </w:r>
          </w:p>
        </w:tc>
        <w:tc>
          <w:tcPr>
            <w:tcW w:w="121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7.263,13</w:t>
            </w:r>
          </w:p>
        </w:tc>
        <w:tc>
          <w:tcPr>
            <w:tcW w:w="1107"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47,47</w:t>
            </w:r>
          </w:p>
        </w:tc>
      </w:tr>
      <w:tr w:rsidR="00985F02" w:rsidRPr="002A0BEE" w:rsidTr="00A50B2C">
        <w:tc>
          <w:tcPr>
            <w:cnfStyle w:val="001000000000"/>
            <w:tcW w:w="1104" w:type="dxa"/>
          </w:tcPr>
          <w:p w:rsidR="00985F02" w:rsidRPr="002A0BEE" w:rsidRDefault="00985F02" w:rsidP="00A50B2C">
            <w:pPr>
              <w:jc w:val="center"/>
              <w:rPr>
                <w:rFonts w:asciiTheme="majorHAnsi" w:hAnsiTheme="majorHAnsi" w:cstheme="minorHAnsi"/>
                <w:sz w:val="24"/>
                <w:szCs w:val="24"/>
                <w:lang w:val="sr-Latn-CS"/>
              </w:rPr>
            </w:pPr>
            <w:r w:rsidRPr="002A0BEE">
              <w:rPr>
                <w:rFonts w:asciiTheme="majorHAnsi" w:hAnsiTheme="majorHAnsi" w:cstheme="minorHAnsi"/>
                <w:sz w:val="24"/>
                <w:szCs w:val="24"/>
                <w:lang w:val="sr-Latn-CS"/>
              </w:rPr>
              <w:t>2014.</w:t>
            </w:r>
          </w:p>
        </w:tc>
        <w:tc>
          <w:tcPr>
            <w:tcW w:w="1401"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2.500</w:t>
            </w:r>
          </w:p>
        </w:tc>
        <w:tc>
          <w:tcPr>
            <w:tcW w:w="1360"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2.452</w:t>
            </w:r>
          </w:p>
        </w:tc>
        <w:tc>
          <w:tcPr>
            <w:tcW w:w="93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98,08</w:t>
            </w: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15.300</w:t>
            </w:r>
          </w:p>
        </w:tc>
        <w:tc>
          <w:tcPr>
            <w:tcW w:w="1219"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11.148</w:t>
            </w:r>
          </w:p>
        </w:tc>
        <w:tc>
          <w:tcPr>
            <w:tcW w:w="1107" w:type="dxa"/>
          </w:tcPr>
          <w:p w:rsidR="00985F02" w:rsidRPr="002A0BEE" w:rsidRDefault="00985F02" w:rsidP="00A50B2C">
            <w:pPr>
              <w:jc w:val="center"/>
              <w:cnfStyle w:val="0000000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72,86</w:t>
            </w:r>
          </w:p>
        </w:tc>
      </w:tr>
      <w:tr w:rsidR="00985F02" w:rsidRPr="002A0BEE" w:rsidTr="00A50B2C">
        <w:trPr>
          <w:cnfStyle w:val="000000100000"/>
          <w:trHeight w:val="485"/>
        </w:trPr>
        <w:tc>
          <w:tcPr>
            <w:cnfStyle w:val="001000000000"/>
            <w:tcW w:w="1104" w:type="dxa"/>
          </w:tcPr>
          <w:p w:rsidR="00985F02" w:rsidRPr="002A0BEE" w:rsidRDefault="0023153B" w:rsidP="00A50B2C">
            <w:pPr>
              <w:spacing w:after="200" w:line="276" w:lineRule="auto"/>
              <w:jc w:val="center"/>
              <w:rPr>
                <w:rFonts w:asciiTheme="majorHAnsi" w:hAnsiTheme="majorHAnsi" w:cstheme="minorHAnsi"/>
                <w:b w:val="0"/>
                <w:sz w:val="24"/>
                <w:szCs w:val="24"/>
                <w:lang w:val="sr-Latn-CS"/>
              </w:rPr>
            </w:pPr>
            <w:r w:rsidRPr="002A0BEE">
              <w:rPr>
                <w:rFonts w:asciiTheme="majorHAnsi" w:hAnsiTheme="majorHAnsi" w:cstheme="minorHAnsi"/>
                <w:sz w:val="24"/>
                <w:szCs w:val="24"/>
                <w:lang w:val="sr-Latn-CS"/>
              </w:rPr>
              <w:t>UKUPNO</w:t>
            </w:r>
          </w:p>
        </w:tc>
        <w:tc>
          <w:tcPr>
            <w:tcW w:w="1401" w:type="dxa"/>
          </w:tcPr>
          <w:p w:rsidR="00985F02" w:rsidRPr="002A0BEE" w:rsidRDefault="00256F04"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28.000</w:t>
            </w:r>
          </w:p>
        </w:tc>
        <w:tc>
          <w:tcPr>
            <w:tcW w:w="1360" w:type="dxa"/>
          </w:tcPr>
          <w:p w:rsidR="00985F02" w:rsidRPr="002A0BEE" w:rsidRDefault="00256F04" w:rsidP="00256F04">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24.790,</w:t>
            </w:r>
            <w:r w:rsidR="00985F02" w:rsidRPr="002A0BEE">
              <w:rPr>
                <w:rFonts w:asciiTheme="majorHAnsi" w:hAnsiTheme="majorHAnsi" w:cstheme="minorHAnsi"/>
                <w:sz w:val="24"/>
                <w:szCs w:val="24"/>
                <w:lang w:val="sr-Latn-CS"/>
              </w:rPr>
              <w:t>047</w:t>
            </w:r>
          </w:p>
        </w:tc>
        <w:tc>
          <w:tcPr>
            <w:tcW w:w="939" w:type="dxa"/>
          </w:tcPr>
          <w:p w:rsidR="00985F02" w:rsidRPr="002A0BEE" w:rsidRDefault="00256F04"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88,54</w:t>
            </w:r>
          </w:p>
        </w:tc>
        <w:tc>
          <w:tcPr>
            <w:tcW w:w="1219" w:type="dxa"/>
          </w:tcPr>
          <w:p w:rsidR="00985F02" w:rsidRPr="002A0BEE" w:rsidRDefault="00985F02" w:rsidP="00985F02">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114.750</w:t>
            </w:r>
          </w:p>
        </w:tc>
        <w:tc>
          <w:tcPr>
            <w:tcW w:w="1219"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98.174,13</w:t>
            </w:r>
          </w:p>
          <w:p w:rsidR="00985F02" w:rsidRPr="002A0BEE" w:rsidRDefault="00985F02" w:rsidP="00A50B2C">
            <w:pPr>
              <w:jc w:val="center"/>
              <w:cnfStyle w:val="000000100000"/>
              <w:rPr>
                <w:rFonts w:asciiTheme="majorHAnsi" w:hAnsiTheme="majorHAnsi" w:cstheme="minorHAnsi"/>
                <w:color w:val="7030A0"/>
                <w:sz w:val="24"/>
                <w:szCs w:val="24"/>
                <w:lang w:val="sr-Latn-CS"/>
              </w:rPr>
            </w:pPr>
          </w:p>
        </w:tc>
        <w:tc>
          <w:tcPr>
            <w:tcW w:w="1107" w:type="dxa"/>
          </w:tcPr>
          <w:p w:rsidR="00985F02" w:rsidRPr="002A0BEE" w:rsidRDefault="00985F02" w:rsidP="00A50B2C">
            <w:pPr>
              <w:jc w:val="center"/>
              <w:cnfStyle w:val="000000100000"/>
              <w:rPr>
                <w:rFonts w:asciiTheme="majorHAnsi" w:hAnsiTheme="majorHAnsi" w:cstheme="minorHAnsi"/>
                <w:sz w:val="24"/>
                <w:szCs w:val="24"/>
                <w:lang w:val="sr-Latn-CS"/>
              </w:rPr>
            </w:pPr>
            <w:r w:rsidRPr="002A0BEE">
              <w:rPr>
                <w:rFonts w:asciiTheme="majorHAnsi" w:hAnsiTheme="majorHAnsi" w:cstheme="minorHAnsi"/>
                <w:sz w:val="24"/>
                <w:szCs w:val="24"/>
                <w:lang w:val="sr-Latn-CS"/>
              </w:rPr>
              <w:t>85,55</w:t>
            </w:r>
          </w:p>
          <w:p w:rsidR="00985F02" w:rsidRPr="002A0BEE" w:rsidRDefault="00985F02" w:rsidP="00A50B2C">
            <w:pPr>
              <w:jc w:val="center"/>
              <w:cnfStyle w:val="000000100000"/>
              <w:rPr>
                <w:rFonts w:asciiTheme="majorHAnsi" w:hAnsiTheme="majorHAnsi" w:cstheme="minorHAnsi"/>
                <w:color w:val="7030A0"/>
                <w:sz w:val="24"/>
                <w:szCs w:val="24"/>
                <w:lang w:val="sr-Latn-CS"/>
              </w:rPr>
            </w:pPr>
          </w:p>
        </w:tc>
      </w:tr>
    </w:tbl>
    <w:p w:rsidR="0039461C" w:rsidRPr="002A0BEE" w:rsidRDefault="0039461C" w:rsidP="002E447F">
      <w:pPr>
        <w:spacing w:after="0"/>
        <w:jc w:val="both"/>
        <w:rPr>
          <w:rFonts w:asciiTheme="majorHAnsi" w:eastAsia="Times New Roman" w:hAnsiTheme="majorHAnsi" w:cstheme="minorHAnsi"/>
          <w:szCs w:val="24"/>
          <w:lang w:val="sr-Latn-CS"/>
        </w:rPr>
      </w:pPr>
    </w:p>
    <w:p w:rsidR="00957AD0" w:rsidRPr="002A0BEE" w:rsidRDefault="00957AD0" w:rsidP="002E447F">
      <w:pPr>
        <w:pStyle w:val="ListParagraph"/>
        <w:numPr>
          <w:ilvl w:val="0"/>
          <w:numId w:val="8"/>
        </w:numPr>
        <w:spacing w:after="0"/>
        <w:contextualSpacing w:val="0"/>
        <w:rPr>
          <w:rFonts w:asciiTheme="majorHAnsi" w:eastAsia="Times New Roman" w:hAnsiTheme="majorHAnsi" w:cstheme="minorHAnsi"/>
          <w:vanish/>
          <w:szCs w:val="24"/>
          <w:lang w:val="sr-Latn-CS"/>
        </w:rPr>
      </w:pPr>
    </w:p>
    <w:p w:rsidR="00957AD0" w:rsidRPr="002A0BEE" w:rsidRDefault="00957AD0" w:rsidP="002E447F">
      <w:pPr>
        <w:pStyle w:val="ListParagraph"/>
        <w:numPr>
          <w:ilvl w:val="1"/>
          <w:numId w:val="8"/>
        </w:numPr>
        <w:spacing w:after="0"/>
        <w:contextualSpacing w:val="0"/>
        <w:rPr>
          <w:rFonts w:asciiTheme="majorHAnsi" w:eastAsia="Times New Roman" w:hAnsiTheme="majorHAnsi" w:cstheme="minorHAnsi"/>
          <w:vanish/>
          <w:szCs w:val="24"/>
          <w:lang w:val="sr-Latn-CS"/>
        </w:rPr>
      </w:pPr>
    </w:p>
    <w:p w:rsidR="00957AD0" w:rsidRPr="002A0BEE" w:rsidRDefault="00957AD0" w:rsidP="002E447F">
      <w:pPr>
        <w:pStyle w:val="ListParagraph"/>
        <w:numPr>
          <w:ilvl w:val="1"/>
          <w:numId w:val="8"/>
        </w:numPr>
        <w:spacing w:after="0"/>
        <w:contextualSpacing w:val="0"/>
        <w:rPr>
          <w:rFonts w:asciiTheme="majorHAnsi" w:eastAsia="Times New Roman" w:hAnsiTheme="majorHAnsi" w:cstheme="minorHAnsi"/>
          <w:vanish/>
          <w:szCs w:val="24"/>
          <w:lang w:val="sr-Latn-CS"/>
        </w:rPr>
      </w:pPr>
    </w:p>
    <w:p w:rsidR="00957AD0" w:rsidRPr="002A0BEE" w:rsidRDefault="00957AD0" w:rsidP="002E447F">
      <w:pPr>
        <w:pStyle w:val="ListParagraph"/>
        <w:numPr>
          <w:ilvl w:val="1"/>
          <w:numId w:val="8"/>
        </w:numPr>
        <w:spacing w:after="0"/>
        <w:contextualSpacing w:val="0"/>
        <w:rPr>
          <w:rFonts w:asciiTheme="majorHAnsi" w:eastAsia="Times New Roman" w:hAnsiTheme="majorHAnsi" w:cstheme="minorHAnsi"/>
          <w:vanish/>
          <w:szCs w:val="24"/>
          <w:lang w:val="sr-Latn-CS"/>
        </w:rPr>
      </w:pPr>
    </w:p>
    <w:p w:rsidR="00957AD0" w:rsidRPr="002A0BEE" w:rsidRDefault="00957AD0" w:rsidP="002E447F">
      <w:pPr>
        <w:pStyle w:val="ListParagraph"/>
        <w:numPr>
          <w:ilvl w:val="1"/>
          <w:numId w:val="8"/>
        </w:numPr>
        <w:spacing w:after="0"/>
        <w:contextualSpacing w:val="0"/>
        <w:rPr>
          <w:rFonts w:asciiTheme="majorHAnsi" w:eastAsia="Times New Roman" w:hAnsiTheme="majorHAnsi" w:cstheme="minorHAnsi"/>
          <w:vanish/>
          <w:szCs w:val="24"/>
          <w:lang w:val="sr-Latn-CS"/>
        </w:rPr>
      </w:pPr>
    </w:p>
    <w:p w:rsidR="00957AD0" w:rsidRPr="002A0BEE" w:rsidRDefault="00256F04" w:rsidP="002E447F">
      <w:p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Na osnovu predhodno iznijetog k</w:t>
      </w:r>
      <w:r w:rsidR="00957AD0" w:rsidRPr="002A0BEE">
        <w:rPr>
          <w:rFonts w:asciiTheme="majorHAnsi" w:eastAsia="Times New Roman" w:hAnsiTheme="majorHAnsi" w:cstheme="minorHAnsi"/>
          <w:szCs w:val="24"/>
          <w:lang w:val="sr-Latn-CS"/>
        </w:rPr>
        <w:t>apacitet površinskog kopa će biti 2.</w:t>
      </w:r>
      <w:r w:rsidR="0039461C" w:rsidRPr="002A0BEE">
        <w:rPr>
          <w:rFonts w:asciiTheme="majorHAnsi" w:eastAsia="Times New Roman" w:hAnsiTheme="majorHAnsi" w:cstheme="minorHAnsi"/>
          <w:szCs w:val="24"/>
          <w:lang w:val="sr-Latn-CS"/>
        </w:rPr>
        <w:t>0</w:t>
      </w:r>
      <w:r w:rsidR="00957AD0" w:rsidRPr="002A0BEE">
        <w:rPr>
          <w:rFonts w:asciiTheme="majorHAnsi" w:eastAsia="Times New Roman" w:hAnsiTheme="majorHAnsi" w:cstheme="minorHAnsi"/>
          <w:szCs w:val="24"/>
          <w:lang w:val="sr-Latn-CS"/>
        </w:rPr>
        <w:t>00 m</w:t>
      </w:r>
      <w:r w:rsidR="00957AD0" w:rsidRPr="002A0BEE">
        <w:rPr>
          <w:rFonts w:asciiTheme="majorHAnsi" w:eastAsia="Times New Roman" w:hAnsiTheme="majorHAnsi" w:cstheme="minorHAnsi"/>
          <w:szCs w:val="24"/>
          <w:vertAlign w:val="superscript"/>
          <w:lang w:val="sr-Latn-CS"/>
        </w:rPr>
        <w:t>3</w:t>
      </w:r>
      <w:r w:rsidR="00957AD0" w:rsidRPr="002A0BEE">
        <w:rPr>
          <w:rFonts w:asciiTheme="majorHAnsi" w:eastAsia="Times New Roman" w:hAnsiTheme="majorHAnsi" w:cstheme="minorHAnsi"/>
          <w:szCs w:val="24"/>
          <w:lang w:val="sr-Latn-CS"/>
        </w:rPr>
        <w:t xml:space="preserve"> komercijalnog bloka i tombolona i </w:t>
      </w:r>
      <w:r w:rsidR="00025495" w:rsidRPr="002A0BEE">
        <w:rPr>
          <w:rFonts w:asciiTheme="majorHAnsi" w:eastAsia="Times New Roman" w:hAnsiTheme="majorHAnsi" w:cstheme="minorHAnsi"/>
          <w:szCs w:val="24"/>
          <w:lang w:val="sr-Latn-CS"/>
        </w:rPr>
        <w:t>7</w:t>
      </w:r>
      <w:r w:rsidR="00957AD0" w:rsidRPr="002A0BEE">
        <w:rPr>
          <w:rFonts w:asciiTheme="majorHAnsi" w:eastAsia="Times New Roman" w:hAnsiTheme="majorHAnsi" w:cstheme="minorHAnsi"/>
          <w:szCs w:val="24"/>
          <w:lang w:val="sr-Latn-CS"/>
        </w:rPr>
        <w:t>.0</w:t>
      </w:r>
      <w:r w:rsidR="00347B57" w:rsidRPr="002A0BEE">
        <w:rPr>
          <w:rFonts w:asciiTheme="majorHAnsi" w:eastAsia="Times New Roman" w:hAnsiTheme="majorHAnsi" w:cstheme="minorHAnsi"/>
          <w:szCs w:val="24"/>
          <w:lang w:val="sr-Latn-CS"/>
        </w:rPr>
        <w:t>91</w:t>
      </w:r>
      <w:r w:rsidR="00957AD0" w:rsidRPr="002A0BEE">
        <w:rPr>
          <w:rFonts w:asciiTheme="majorHAnsi" w:eastAsia="Times New Roman" w:hAnsiTheme="majorHAnsi" w:cstheme="minorHAnsi"/>
          <w:szCs w:val="24"/>
          <w:lang w:val="sr-Latn-CS"/>
        </w:rPr>
        <w:t xml:space="preserve"> m</w:t>
      </w:r>
      <w:r w:rsidR="00957AD0" w:rsidRPr="002A0BEE">
        <w:rPr>
          <w:rFonts w:asciiTheme="majorHAnsi" w:eastAsia="Times New Roman" w:hAnsiTheme="majorHAnsi" w:cstheme="minorHAnsi"/>
          <w:szCs w:val="24"/>
          <w:vertAlign w:val="superscript"/>
          <w:lang w:val="sr-Latn-CS"/>
        </w:rPr>
        <w:t>3</w:t>
      </w:r>
      <w:r w:rsidR="00957AD0" w:rsidRPr="002A0BEE">
        <w:rPr>
          <w:rFonts w:asciiTheme="majorHAnsi" w:eastAsia="Times New Roman" w:hAnsiTheme="majorHAnsi" w:cstheme="minorHAnsi"/>
          <w:szCs w:val="24"/>
          <w:lang w:val="sr-Latn-CS"/>
        </w:rPr>
        <w:t xml:space="preserve"> č.s.m. za proizvodnju tehničko-građevinskog kamena. </w:t>
      </w:r>
    </w:p>
    <w:p w:rsidR="00957AD0" w:rsidRPr="002A0BEE" w:rsidRDefault="00957AD0" w:rsidP="002E447F">
      <w:pPr>
        <w:spacing w:after="0"/>
        <w:ind w:left="1080"/>
        <w:jc w:val="both"/>
        <w:rPr>
          <w:rFonts w:asciiTheme="majorHAnsi" w:eastAsia="Times New Roman" w:hAnsiTheme="majorHAnsi" w:cstheme="minorHAnsi"/>
          <w:b/>
          <w:szCs w:val="24"/>
          <w:lang w:val="sr-Latn-CS"/>
        </w:rPr>
      </w:pPr>
    </w:p>
    <w:p w:rsidR="00957AD0" w:rsidRPr="002A0BEE" w:rsidRDefault="00957AD0" w:rsidP="0055031D">
      <w:pPr>
        <w:pStyle w:val="Heading2"/>
        <w:numPr>
          <w:ilvl w:val="1"/>
          <w:numId w:val="47"/>
        </w:numPr>
        <w:spacing w:before="0"/>
        <w:rPr>
          <w:rFonts w:eastAsia="Times New Roman" w:cstheme="minorHAnsi"/>
          <w:color w:val="auto"/>
          <w:szCs w:val="24"/>
          <w:lang w:val="sr-Latn-CS"/>
        </w:rPr>
      </w:pPr>
      <w:bookmarkStart w:id="52" w:name="_Toc401959417"/>
      <w:bookmarkStart w:id="53" w:name="_Toc401959510"/>
      <w:bookmarkStart w:id="54" w:name="_Toc435529008"/>
      <w:bookmarkStart w:id="55" w:name="_Toc436124877"/>
      <w:r w:rsidRPr="002A0BEE">
        <w:rPr>
          <w:rFonts w:eastAsia="Times New Roman" w:cstheme="minorHAnsi"/>
          <w:color w:val="auto"/>
          <w:szCs w:val="24"/>
          <w:lang w:val="sr-Latn-CS"/>
        </w:rPr>
        <w:t>Opis tehničko-tehnološkog procesa eksploatacije</w:t>
      </w:r>
      <w:bookmarkEnd w:id="52"/>
      <w:bookmarkEnd w:id="53"/>
      <w:bookmarkEnd w:id="54"/>
      <w:bookmarkEnd w:id="55"/>
    </w:p>
    <w:p w:rsidR="007519C5" w:rsidRPr="002A0BEE" w:rsidRDefault="007519C5" w:rsidP="002E447F">
      <w:pPr>
        <w:spacing w:after="0"/>
        <w:rPr>
          <w:rFonts w:asciiTheme="majorHAnsi" w:hAnsiTheme="majorHAnsi" w:cstheme="minorHAnsi"/>
          <w:szCs w:val="24"/>
          <w:lang w:val="sr-Latn-CS"/>
        </w:rPr>
      </w:pPr>
    </w:p>
    <w:p w:rsidR="00957AD0" w:rsidRPr="002A0BEE" w:rsidRDefault="00957AD0"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Na ovom prostoru postoji razvijen površinski kop arhitektonsko-građevinskog i tehničko-građevinskog kamena, koji je tipično brdskog-visinskog tipa koji radi već dugi niz godina, tako da postoji poznat kvalitet i količine mineralne sirovine, kao i tehnologija eksploatacije i koeficijent iskorišćenja koji je 22%. Eksploatacija se vrši odozgo naniže tako da se najvisočija etaža sa završetkom eksploatacionih radova na njoj, praktično, eliminiše.</w:t>
      </w:r>
      <w:r w:rsidR="00AF2D20"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Kapacitet površinskog kopa će biti 2</w:t>
      </w:r>
      <w:r w:rsidR="000A206E" w:rsidRPr="002A0BEE">
        <w:rPr>
          <w:rFonts w:asciiTheme="majorHAnsi" w:hAnsiTheme="majorHAnsi" w:cstheme="minorHAnsi"/>
          <w:szCs w:val="24"/>
          <w:lang w:val="sr-Latn-CS"/>
        </w:rPr>
        <w:t>.</w:t>
      </w:r>
      <w:r w:rsidR="00A50B2C" w:rsidRPr="002A0BEE">
        <w:rPr>
          <w:rFonts w:asciiTheme="majorHAnsi" w:hAnsiTheme="majorHAnsi" w:cstheme="minorHAnsi"/>
          <w:szCs w:val="24"/>
          <w:lang w:val="sr-Latn-CS"/>
        </w:rPr>
        <w:t>0</w:t>
      </w:r>
      <w:r w:rsidRPr="002A0BEE">
        <w:rPr>
          <w:rFonts w:asciiTheme="majorHAnsi" w:hAnsiTheme="majorHAnsi" w:cstheme="minorHAnsi"/>
          <w:szCs w:val="24"/>
          <w:lang w:val="sr-Latn-CS"/>
        </w:rPr>
        <w:t>00 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komercijalnog bloka i tombolona, što znači da je potrebno godišnje otkopati ukupno oko </w:t>
      </w:r>
      <w:r w:rsidR="00A50B2C" w:rsidRPr="002A0BEE">
        <w:rPr>
          <w:rFonts w:asciiTheme="majorHAnsi" w:hAnsiTheme="majorHAnsi" w:cstheme="minorHAnsi"/>
          <w:szCs w:val="24"/>
          <w:lang w:val="sr-Latn-CS"/>
        </w:rPr>
        <w:t xml:space="preserve">9.091 </w:t>
      </w:r>
      <w:r w:rsidRPr="002A0BEE">
        <w:rPr>
          <w:rFonts w:asciiTheme="majorHAnsi" w:hAnsiTheme="majorHAnsi" w:cstheme="minorHAnsi"/>
          <w:szCs w:val="24"/>
          <w:lang w:val="sr-Latn-CS"/>
        </w:rPr>
        <w:t>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č.s.m. U ovom slučaju, nema jalovine zato što se jalovina, koja se dobija u procesu proizvodnje arhitektonsko-građevinskog kamena, koristi kao tehničko-građevinski kamen. U toku eksploatacije od 2</w:t>
      </w:r>
      <w:r w:rsidR="000A206E" w:rsidRPr="002A0BEE">
        <w:rPr>
          <w:rFonts w:asciiTheme="majorHAnsi" w:hAnsiTheme="majorHAnsi" w:cstheme="minorHAnsi"/>
          <w:szCs w:val="24"/>
          <w:lang w:val="sr-Latn-CS"/>
        </w:rPr>
        <w:t>.</w:t>
      </w:r>
      <w:r w:rsidR="00A50B2C" w:rsidRPr="002A0BEE">
        <w:rPr>
          <w:rFonts w:asciiTheme="majorHAnsi" w:hAnsiTheme="majorHAnsi" w:cstheme="minorHAnsi"/>
          <w:szCs w:val="24"/>
          <w:lang w:val="sr-Latn-CS"/>
        </w:rPr>
        <w:t>0</w:t>
      </w:r>
      <w:r w:rsidRPr="002A0BEE">
        <w:rPr>
          <w:rFonts w:asciiTheme="majorHAnsi" w:hAnsiTheme="majorHAnsi" w:cstheme="minorHAnsi"/>
          <w:szCs w:val="24"/>
          <w:lang w:val="sr-Latn-CS"/>
        </w:rPr>
        <w:t>00 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arhitektonsko-građevinskog kamena dobija se </w:t>
      </w:r>
      <w:r w:rsidR="00A50B2C" w:rsidRPr="002A0BEE">
        <w:rPr>
          <w:rFonts w:asciiTheme="majorHAnsi" w:hAnsiTheme="majorHAnsi" w:cstheme="minorHAnsi"/>
          <w:szCs w:val="24"/>
          <w:lang w:val="sr-Latn-CS"/>
        </w:rPr>
        <w:t>7.091</w:t>
      </w:r>
      <w:r w:rsidRPr="002A0BEE">
        <w:rPr>
          <w:rFonts w:asciiTheme="majorHAnsi" w:hAnsiTheme="majorHAnsi" w:cstheme="minorHAnsi"/>
          <w:szCs w:val="24"/>
          <w:lang w:val="sr-Latn-CS"/>
        </w:rPr>
        <w:t xml:space="preserve"> 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č.s.m. tehničko-građevinskog kamena. Eksploatacija meneralne sirovine sastojala bi se iz sljedećih faza rada:   </w:t>
      </w:r>
    </w:p>
    <w:p w:rsidR="00957AD0" w:rsidRPr="002A0BEE" w:rsidRDefault="00957AD0" w:rsidP="0055031D">
      <w:pPr>
        <w:pStyle w:val="ListParagraph"/>
        <w:numPr>
          <w:ilvl w:val="0"/>
          <w:numId w:val="31"/>
        </w:numPr>
        <w:spacing w:after="0"/>
        <w:rPr>
          <w:rFonts w:asciiTheme="majorHAnsi" w:hAnsiTheme="majorHAnsi" w:cstheme="minorHAnsi"/>
          <w:szCs w:val="24"/>
          <w:lang w:val="sr-Latn-CS"/>
        </w:rPr>
      </w:pPr>
      <w:r w:rsidRPr="002A0BEE">
        <w:rPr>
          <w:rFonts w:asciiTheme="majorHAnsi" w:hAnsiTheme="majorHAnsi" w:cstheme="minorHAnsi"/>
          <w:szCs w:val="24"/>
          <w:lang w:val="sr-Latn-CS"/>
        </w:rPr>
        <w:lastRenderedPageBreak/>
        <w:t>pripremni radovi,</w:t>
      </w:r>
    </w:p>
    <w:p w:rsidR="00957AD0" w:rsidRPr="002A0BEE" w:rsidRDefault="00957AD0" w:rsidP="0055031D">
      <w:pPr>
        <w:pStyle w:val="ListParagraph"/>
        <w:numPr>
          <w:ilvl w:val="0"/>
          <w:numId w:val="31"/>
        </w:numPr>
        <w:spacing w:after="0"/>
        <w:rPr>
          <w:rFonts w:asciiTheme="majorHAnsi" w:hAnsiTheme="majorHAnsi" w:cstheme="minorHAnsi"/>
          <w:szCs w:val="24"/>
          <w:lang w:val="sr-Latn-CS"/>
        </w:rPr>
      </w:pPr>
      <w:r w:rsidRPr="002A0BEE">
        <w:rPr>
          <w:rFonts w:asciiTheme="majorHAnsi" w:hAnsiTheme="majorHAnsi" w:cstheme="minorHAnsi"/>
          <w:szCs w:val="24"/>
          <w:lang w:val="sr-Latn-CS"/>
        </w:rPr>
        <w:t>bušenje,</w:t>
      </w:r>
    </w:p>
    <w:p w:rsidR="00957AD0" w:rsidRPr="002A0BEE" w:rsidRDefault="00957AD0" w:rsidP="0055031D">
      <w:pPr>
        <w:pStyle w:val="ListParagraph"/>
        <w:numPr>
          <w:ilvl w:val="0"/>
          <w:numId w:val="31"/>
        </w:numPr>
        <w:spacing w:after="0"/>
        <w:rPr>
          <w:rFonts w:asciiTheme="majorHAnsi" w:hAnsiTheme="majorHAnsi" w:cstheme="minorHAnsi"/>
          <w:szCs w:val="24"/>
          <w:lang w:val="sr-Latn-CS"/>
        </w:rPr>
      </w:pPr>
      <w:r w:rsidRPr="002A0BEE">
        <w:rPr>
          <w:rFonts w:asciiTheme="majorHAnsi" w:hAnsiTheme="majorHAnsi" w:cstheme="minorHAnsi"/>
          <w:szCs w:val="24"/>
          <w:lang w:val="sr-Latn-CS"/>
        </w:rPr>
        <w:t>sječenje, odvajanje primarnih blokova i dobijanje komercijalnih blokova,</w:t>
      </w:r>
    </w:p>
    <w:p w:rsidR="00957AD0" w:rsidRPr="002A0BEE" w:rsidRDefault="00957AD0" w:rsidP="0055031D">
      <w:pPr>
        <w:pStyle w:val="ListParagraph"/>
        <w:numPr>
          <w:ilvl w:val="0"/>
          <w:numId w:val="31"/>
        </w:numPr>
        <w:spacing w:after="0"/>
        <w:rPr>
          <w:rFonts w:asciiTheme="majorHAnsi" w:hAnsiTheme="majorHAnsi" w:cstheme="minorHAnsi"/>
          <w:szCs w:val="24"/>
          <w:lang w:val="sr-Latn-CS"/>
        </w:rPr>
      </w:pPr>
      <w:r w:rsidRPr="002A0BEE">
        <w:rPr>
          <w:rFonts w:asciiTheme="majorHAnsi" w:hAnsiTheme="majorHAnsi" w:cstheme="minorHAnsi"/>
          <w:szCs w:val="24"/>
          <w:lang w:val="sr-Latn-CS"/>
        </w:rPr>
        <w:t xml:space="preserve">utovar i transport, </w:t>
      </w:r>
    </w:p>
    <w:p w:rsidR="002A0BEE" w:rsidRPr="002A0BEE" w:rsidRDefault="00957AD0" w:rsidP="0055031D">
      <w:pPr>
        <w:pStyle w:val="ListParagraph"/>
        <w:numPr>
          <w:ilvl w:val="0"/>
          <w:numId w:val="31"/>
        </w:numPr>
        <w:contextualSpacing w:val="0"/>
        <w:rPr>
          <w:rFonts w:asciiTheme="majorHAnsi" w:hAnsiTheme="majorHAnsi" w:cstheme="minorHAnsi"/>
          <w:szCs w:val="24"/>
          <w:lang w:val="sr-Latn-CS"/>
        </w:rPr>
      </w:pPr>
      <w:r w:rsidRPr="002A0BEE">
        <w:rPr>
          <w:rFonts w:asciiTheme="majorHAnsi" w:hAnsiTheme="majorHAnsi" w:cstheme="minorHAnsi"/>
          <w:szCs w:val="24"/>
          <w:lang w:val="sr-Latn-CS"/>
        </w:rPr>
        <w:t>prerada tehničko-građevinskog kamen.</w:t>
      </w:r>
    </w:p>
    <w:p w:rsidR="00957AD0" w:rsidRPr="002A0BEE" w:rsidRDefault="00957AD0" w:rsidP="0055031D">
      <w:pPr>
        <w:pStyle w:val="ListParagraph"/>
        <w:numPr>
          <w:ilvl w:val="0"/>
          <w:numId w:val="45"/>
        </w:numPr>
        <w:rPr>
          <w:rFonts w:asciiTheme="majorHAnsi" w:hAnsiTheme="majorHAnsi" w:cstheme="minorHAnsi"/>
          <w:b/>
          <w:i/>
          <w:szCs w:val="24"/>
          <w:lang w:val="sr-Latn-CS"/>
        </w:rPr>
      </w:pPr>
      <w:r w:rsidRPr="002A0BEE">
        <w:rPr>
          <w:rFonts w:asciiTheme="majorHAnsi" w:hAnsiTheme="majorHAnsi" w:cstheme="minorHAnsi"/>
          <w:b/>
          <w:i/>
          <w:szCs w:val="24"/>
          <w:lang w:val="sr-Latn-CS"/>
        </w:rPr>
        <w:t xml:space="preserve">Pripremni radovi </w:t>
      </w:r>
    </w:p>
    <w:p w:rsidR="00957AD0" w:rsidRPr="002A0BEE" w:rsidRDefault="00957AD0"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Pripremni radovi obuhvataju: izradu etažnog puta </w:t>
      </w:r>
      <w:r w:rsidR="000A206E" w:rsidRPr="002A0BEE">
        <w:rPr>
          <w:rFonts w:asciiTheme="majorHAnsi" w:hAnsiTheme="majorHAnsi" w:cstheme="minorHAnsi"/>
          <w:szCs w:val="24"/>
          <w:lang w:val="sr-Latn-CS"/>
        </w:rPr>
        <w:t>i</w:t>
      </w:r>
      <w:r w:rsidRPr="002A0BEE">
        <w:rPr>
          <w:rFonts w:asciiTheme="majorHAnsi" w:hAnsiTheme="majorHAnsi" w:cstheme="minorHAnsi"/>
          <w:szCs w:val="24"/>
          <w:lang w:val="sr-Latn-CS"/>
        </w:rPr>
        <w:t xml:space="preserve"> otvaranje etaže. Pripremni radovi izvodiće se bagerom kašikarom sa dubinskom korpom i pikamerom,</w:t>
      </w:r>
      <w:r w:rsidR="000A206E"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bušilicom, sjekačicom i utovarivačem.</w:t>
      </w:r>
    </w:p>
    <w:p w:rsidR="00957AD0" w:rsidRPr="002A0BEE" w:rsidRDefault="00957AD0" w:rsidP="0055031D">
      <w:pPr>
        <w:pStyle w:val="ListParagraph"/>
        <w:numPr>
          <w:ilvl w:val="0"/>
          <w:numId w:val="33"/>
        </w:numPr>
        <w:contextualSpacing w:val="0"/>
        <w:rPr>
          <w:rFonts w:asciiTheme="majorHAnsi" w:hAnsiTheme="majorHAnsi" w:cstheme="minorHAnsi"/>
          <w:b/>
          <w:i/>
          <w:szCs w:val="24"/>
          <w:lang w:val="sr-Latn-CS"/>
        </w:rPr>
      </w:pPr>
      <w:r w:rsidRPr="002A0BEE">
        <w:rPr>
          <w:rFonts w:asciiTheme="majorHAnsi" w:hAnsiTheme="majorHAnsi" w:cstheme="minorHAnsi"/>
          <w:b/>
          <w:i/>
          <w:szCs w:val="24"/>
          <w:lang w:val="sr-Latn-CS"/>
        </w:rPr>
        <w:t xml:space="preserve">Bušenje </w:t>
      </w:r>
    </w:p>
    <w:p w:rsidR="00957AD0" w:rsidRPr="002A0BEE" w:rsidRDefault="00957AD0"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Za bušenje će se koristiti zračna bušilica (sonda) i kompresor. Potrošnja bušilice je 6000 l/min vazduha. Izrađiva će se bušotine prečnika 90 mm i 150 mm. Kompresor je snage 58 kW i kapaciteta 9,1÷11,1 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/min. Za izvođenje radova potrebne su dvije bušilice i dva kompresora.</w:t>
      </w:r>
    </w:p>
    <w:p w:rsidR="00957AD0" w:rsidRPr="002A0BEE" w:rsidRDefault="00957AD0" w:rsidP="0055031D">
      <w:pPr>
        <w:pStyle w:val="ListParagraph"/>
        <w:numPr>
          <w:ilvl w:val="0"/>
          <w:numId w:val="33"/>
        </w:numPr>
        <w:contextualSpacing w:val="0"/>
        <w:rPr>
          <w:rFonts w:asciiTheme="majorHAnsi" w:hAnsiTheme="majorHAnsi" w:cstheme="minorHAnsi"/>
          <w:b/>
          <w:i/>
          <w:szCs w:val="24"/>
          <w:lang w:val="sr-Latn-CS"/>
        </w:rPr>
      </w:pPr>
      <w:r w:rsidRPr="002A0BEE">
        <w:rPr>
          <w:rFonts w:asciiTheme="majorHAnsi" w:hAnsiTheme="majorHAnsi" w:cstheme="minorHAnsi"/>
          <w:b/>
          <w:i/>
          <w:szCs w:val="24"/>
          <w:lang w:val="sr-Latn-CS"/>
        </w:rPr>
        <w:t>Sječenje, odvajanje primarnih blokova i dobijanje komercijalnih blokova</w:t>
      </w:r>
    </w:p>
    <w:p w:rsidR="00957AD0" w:rsidRPr="002A0BEE" w:rsidRDefault="00957AD0"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Nakon izrade bušotina, pristupa se sječenju dijamantskom perlom da bi se odvojili primarni blokovi od masiva, a potom se pristupa sječenju primarnih blokova kako bi se dobili komercijalni blokovi. Sječenje stijenske mase obavlja se sjekačicom sa dijamantskom perlom snage 37 kW i potrošnjom vode 15 l/min. Odvajanje (obaljivanje) primarnih blokova obavljaće se vodenim jastucima i hidrauličnim klinovima, a dobijanje komercijalnih blokova sjekačicom. Sve radove na sječenju zadovoljavaju dvije sjekačice.</w:t>
      </w:r>
    </w:p>
    <w:p w:rsidR="00957AD0" w:rsidRPr="002A0BEE" w:rsidRDefault="00957AD0" w:rsidP="0055031D">
      <w:pPr>
        <w:pStyle w:val="ListParagraph"/>
        <w:numPr>
          <w:ilvl w:val="0"/>
          <w:numId w:val="32"/>
        </w:numPr>
        <w:contextualSpacing w:val="0"/>
        <w:rPr>
          <w:rFonts w:asciiTheme="majorHAnsi" w:hAnsiTheme="majorHAnsi" w:cstheme="minorHAnsi"/>
          <w:b/>
          <w:i/>
          <w:szCs w:val="24"/>
          <w:lang w:val="sr-Latn-CS"/>
        </w:rPr>
      </w:pPr>
      <w:r w:rsidRPr="002A0BEE">
        <w:rPr>
          <w:rFonts w:asciiTheme="majorHAnsi" w:hAnsiTheme="majorHAnsi" w:cstheme="minorHAnsi"/>
          <w:b/>
          <w:i/>
          <w:szCs w:val="24"/>
          <w:lang w:val="sr-Latn-CS"/>
        </w:rPr>
        <w:t>Utovar i transport</w:t>
      </w:r>
    </w:p>
    <w:p w:rsidR="00957AD0" w:rsidRPr="002A0BEE" w:rsidRDefault="00957AD0"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Transport blokova do prostora za odlaganje obavlja se derik kranom, a transport tehničko-građevinskog kamena, do postrojenja za preradu, gravitacionim obaranjem i utovarivačem. Utovarivač je zapremine korpe 3,0 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i snage motora od 162 kW. Za ove radove potreban je jedan utovarivač.</w:t>
      </w:r>
    </w:p>
    <w:p w:rsidR="00957AD0" w:rsidRPr="002A0BEE" w:rsidRDefault="00957AD0" w:rsidP="0055031D">
      <w:pPr>
        <w:pStyle w:val="ListParagraph"/>
        <w:numPr>
          <w:ilvl w:val="0"/>
          <w:numId w:val="32"/>
        </w:numPr>
        <w:contextualSpacing w:val="0"/>
        <w:rPr>
          <w:rFonts w:asciiTheme="majorHAnsi" w:hAnsiTheme="majorHAnsi" w:cstheme="minorHAnsi"/>
          <w:b/>
          <w:i/>
          <w:szCs w:val="24"/>
          <w:lang w:val="sr-Latn-CS"/>
        </w:rPr>
      </w:pPr>
      <w:r w:rsidRPr="002A0BEE">
        <w:rPr>
          <w:rFonts w:asciiTheme="majorHAnsi" w:hAnsiTheme="majorHAnsi" w:cstheme="minorHAnsi"/>
          <w:b/>
          <w:i/>
          <w:szCs w:val="24"/>
          <w:lang w:val="sr-Latn-CS"/>
        </w:rPr>
        <w:t>prerada tehničko-građevinskog kamena</w:t>
      </w:r>
    </w:p>
    <w:p w:rsidR="00957AD0" w:rsidRPr="002A0BEE" w:rsidRDefault="00957AD0"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Prerada tehničko-građevinskog kamena vrši se na stabilnom postrojenju za drobljenje, mljevenje i separisanje.</w:t>
      </w:r>
      <w:bookmarkStart w:id="56" w:name="_Toc401959420"/>
      <w:bookmarkStart w:id="57" w:name="_Toc401959513"/>
    </w:p>
    <w:p w:rsidR="00957AD0" w:rsidRPr="002A0BEE" w:rsidRDefault="00957AD0" w:rsidP="0055031D">
      <w:pPr>
        <w:pStyle w:val="ListParagraph"/>
        <w:numPr>
          <w:ilvl w:val="1"/>
          <w:numId w:val="47"/>
        </w:numPr>
        <w:contextualSpacing w:val="0"/>
        <w:rPr>
          <w:rFonts w:asciiTheme="majorHAnsi" w:hAnsiTheme="majorHAnsi" w:cstheme="minorHAnsi"/>
          <w:b/>
          <w:szCs w:val="24"/>
          <w:lang w:val="sr-Latn-CS"/>
        </w:rPr>
      </w:pPr>
      <w:r w:rsidRPr="002A0BEE">
        <w:rPr>
          <w:rFonts w:asciiTheme="majorHAnsi" w:eastAsia="Times New Roman" w:hAnsiTheme="majorHAnsi" w:cstheme="minorHAnsi"/>
          <w:b/>
          <w:szCs w:val="24"/>
          <w:lang w:val="sr-Latn-CS"/>
        </w:rPr>
        <w:t>Visina sredstava za sanaciju i rekultivaciju</w:t>
      </w:r>
      <w:bookmarkEnd w:id="56"/>
      <w:bookmarkEnd w:id="57"/>
    </w:p>
    <w:p w:rsidR="00957AD0" w:rsidRPr="002A0BEE" w:rsidRDefault="00957AD0" w:rsidP="00025495">
      <w:pPr>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szCs w:val="24"/>
          <w:lang w:val="sr-Latn-CS"/>
        </w:rPr>
        <w:lastRenderedPageBreak/>
        <w:t>Visina sredstava za sanaciju i rekultivaciju prostora na kojem se izvode rudarski radovi utvrđena je Uredbom o visina sredstava za sanaciju i rekultivaciju prostora na kojem se izvode rudarski radovi, načinu obračunavanja, plaćanja i korišćenja tih sredstava („Sl. list CG“, br. 51/11).</w:t>
      </w:r>
      <w:r w:rsidRPr="002A0BEE">
        <w:rPr>
          <w:rFonts w:asciiTheme="majorHAnsi" w:eastAsia="Times New Roman" w:hAnsiTheme="majorHAnsi" w:cstheme="minorHAnsi"/>
          <w:b/>
          <w:szCs w:val="24"/>
          <w:lang w:val="sr-Latn-CS"/>
        </w:rPr>
        <w:t xml:space="preserve"> </w:t>
      </w:r>
    </w:p>
    <w:p w:rsidR="00957AD0" w:rsidRPr="002A0BEE" w:rsidRDefault="00957AD0"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Saglasno navedenoj</w:t>
      </w:r>
      <w:r w:rsidRPr="002A0BEE">
        <w:rPr>
          <w:rFonts w:asciiTheme="majorHAnsi" w:eastAsia="Times New Roman" w:hAnsiTheme="majorHAnsi" w:cstheme="minorHAnsi"/>
          <w:szCs w:val="24"/>
          <w:vertAlign w:val="superscript"/>
          <w:lang w:val="sr-Latn-CS"/>
        </w:rPr>
        <w:t xml:space="preserve"> </w:t>
      </w:r>
      <w:r w:rsidRPr="002A0BEE">
        <w:rPr>
          <w:rFonts w:asciiTheme="majorHAnsi" w:eastAsia="Times New Roman" w:hAnsiTheme="majorHAnsi" w:cstheme="minorHAnsi"/>
          <w:szCs w:val="24"/>
          <w:lang w:val="sr-Latn-CS"/>
        </w:rPr>
        <w:t>Uredbi, visina sredstava utvrđuje se za svaku jedinicu mineralne sirovine na osnovu:</w:t>
      </w:r>
    </w:p>
    <w:p w:rsidR="00957AD0" w:rsidRPr="002A0BEE" w:rsidRDefault="00957AD0" w:rsidP="002E447F">
      <w:pPr>
        <w:numPr>
          <w:ilvl w:val="0"/>
          <w:numId w:val="4"/>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ukupne količine mineralne sirovine u ležištu predviđene za eksploataciju</w:t>
      </w:r>
      <w:r w:rsidRPr="002A0BEE">
        <w:rPr>
          <w:rFonts w:asciiTheme="majorHAnsi" w:eastAsia="Times New Roman" w:hAnsiTheme="majorHAnsi" w:cstheme="minorHAnsi"/>
          <w:szCs w:val="24"/>
          <w:vertAlign w:val="superscript"/>
          <w:lang w:val="sr-Latn-CS"/>
        </w:rPr>
        <w:t xml:space="preserve"> </w:t>
      </w:r>
      <w:r w:rsidRPr="002A0BEE">
        <w:rPr>
          <w:rFonts w:asciiTheme="majorHAnsi" w:eastAsia="Times New Roman" w:hAnsiTheme="majorHAnsi" w:cstheme="minorHAnsi"/>
          <w:szCs w:val="24"/>
          <w:lang w:val="sr-Latn-CS"/>
        </w:rPr>
        <w:t>ugovorom o koncesiji i odobrenim rudarskim projektom;</w:t>
      </w:r>
    </w:p>
    <w:p w:rsidR="00957AD0" w:rsidRPr="002A0BEE" w:rsidRDefault="00957AD0" w:rsidP="002E447F">
      <w:pPr>
        <w:numPr>
          <w:ilvl w:val="0"/>
          <w:numId w:val="4"/>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roka trajanja prava na eksploataciju prema Ugovoru o koncesiji; i</w:t>
      </w:r>
    </w:p>
    <w:p w:rsidR="00957AD0" w:rsidRPr="002A0BEE" w:rsidRDefault="00957AD0" w:rsidP="00025495">
      <w:pPr>
        <w:numPr>
          <w:ilvl w:val="0"/>
          <w:numId w:val="4"/>
        </w:num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predračuna potrebnih sredstava za djelimičnu i konačnu rekultivaciju, utvrđenih odobrenim Glavnim rudarskim projektom eksploatacije, odnosno, tehničkim projektom rekultivacije.</w:t>
      </w:r>
    </w:p>
    <w:p w:rsidR="00957AD0" w:rsidRPr="002A0BEE" w:rsidRDefault="00957AD0" w:rsidP="00025495">
      <w:pPr>
        <w:jc w:val="both"/>
        <w:rPr>
          <w:rFonts w:asciiTheme="majorHAnsi" w:eastAsia="Times New Roman" w:hAnsiTheme="majorHAnsi" w:cstheme="minorHAnsi"/>
          <w:szCs w:val="24"/>
          <w:shd w:val="clear" w:color="auto" w:fill="F79646" w:themeFill="accent6"/>
          <w:lang w:val="sr-Latn-CS"/>
        </w:rPr>
      </w:pPr>
      <w:r w:rsidRPr="002A0BEE">
        <w:rPr>
          <w:rFonts w:asciiTheme="majorHAnsi" w:eastAsia="Times New Roman" w:hAnsiTheme="majorHAnsi" w:cstheme="minorHAnsi"/>
          <w:szCs w:val="24"/>
          <w:lang w:val="sr-Latn-CS"/>
        </w:rPr>
        <w:t>Prema tome, visinu sredstava, kao i dinamiku izvođenja radova, nije moguće utvrditi do izrade odgovarajućeg projekta. Poslije završetka eksploatacije na formiranom platou, mora se, saglasno projektnim rješenjima, odmah pristupiti rekultivaciji istog.</w:t>
      </w:r>
    </w:p>
    <w:p w:rsidR="00957AD0" w:rsidRPr="002A0BEE" w:rsidRDefault="00957AD0"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Kod eksploatacije, u ovom slučaju, ne stvaraju se velike degradirane površine. Ovdje dolazi do eliminacije etaža i etažne ravni se ne rekultivišu, pa je iz tog razloga potrebna manji iznos finansijskih sredstava za rekultivaciju.</w:t>
      </w:r>
    </w:p>
    <w:p w:rsidR="00957AD0" w:rsidRPr="002A0BEE" w:rsidRDefault="00957AD0" w:rsidP="0055031D">
      <w:pPr>
        <w:pStyle w:val="Heading2"/>
        <w:numPr>
          <w:ilvl w:val="1"/>
          <w:numId w:val="47"/>
        </w:numPr>
        <w:spacing w:before="0" w:after="200"/>
        <w:rPr>
          <w:rFonts w:eastAsia="Times New Roman" w:cstheme="minorHAnsi"/>
          <w:color w:val="auto"/>
          <w:szCs w:val="24"/>
          <w:lang w:val="sr-Latn-CS"/>
        </w:rPr>
      </w:pPr>
      <w:bookmarkStart w:id="58" w:name="_Toc401959421"/>
      <w:bookmarkStart w:id="59" w:name="_Toc401959514"/>
      <w:bookmarkStart w:id="60" w:name="_Toc435529009"/>
      <w:bookmarkStart w:id="61" w:name="_Toc436124878"/>
      <w:r w:rsidRPr="002A0BEE">
        <w:rPr>
          <w:rFonts w:eastAsia="Times New Roman" w:cstheme="minorHAnsi"/>
          <w:color w:val="auto"/>
          <w:szCs w:val="24"/>
          <w:lang w:val="sr-Latn-CS"/>
        </w:rPr>
        <w:t>Iznos koncesione naknade</w:t>
      </w:r>
      <w:bookmarkEnd w:id="58"/>
      <w:bookmarkEnd w:id="59"/>
      <w:bookmarkEnd w:id="60"/>
      <w:bookmarkEnd w:id="61"/>
    </w:p>
    <w:p w:rsidR="00957AD0" w:rsidRPr="002A0BEE" w:rsidRDefault="00957AD0"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Iznos koncesione naknade je obrađen u posebnom poglavlju. Početni minimalni iznos koncesione naknade iznosi 7% od vrijednosti mineralne sirovine.</w:t>
      </w:r>
    </w:p>
    <w:p w:rsidR="00957AD0" w:rsidRPr="002A0BEE" w:rsidRDefault="00957AD0" w:rsidP="00025495">
      <w:pPr>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 xml:space="preserve">Za minimalnu godišnju proizvodnju </w:t>
      </w:r>
      <w:r w:rsidR="00FB5C1C" w:rsidRPr="002A0BEE">
        <w:rPr>
          <w:rFonts w:asciiTheme="majorHAnsi" w:eastAsia="Times New Roman" w:hAnsiTheme="majorHAnsi" w:cstheme="minorHAnsi"/>
          <w:b/>
          <w:szCs w:val="24"/>
          <w:lang w:val="sr-Latn-CS"/>
        </w:rPr>
        <w:t xml:space="preserve">arhitektonsko-građevinskog (ukrasnog) kamena </w:t>
      </w:r>
      <w:r w:rsidRPr="002A0BEE">
        <w:rPr>
          <w:rFonts w:asciiTheme="majorHAnsi" w:eastAsia="Times New Roman" w:hAnsiTheme="majorHAnsi" w:cstheme="minorHAnsi"/>
          <w:b/>
          <w:szCs w:val="24"/>
          <w:lang w:val="sr-Latn-CS"/>
        </w:rPr>
        <w:t>od 2.</w:t>
      </w:r>
      <w:r w:rsidR="00A50B2C" w:rsidRPr="002A0BEE">
        <w:rPr>
          <w:rFonts w:asciiTheme="majorHAnsi" w:eastAsia="Times New Roman" w:hAnsiTheme="majorHAnsi" w:cstheme="minorHAnsi"/>
          <w:b/>
          <w:szCs w:val="24"/>
          <w:lang w:val="sr-Latn-CS"/>
        </w:rPr>
        <w:t>0</w:t>
      </w:r>
      <w:r w:rsidRPr="002A0BEE">
        <w:rPr>
          <w:rFonts w:asciiTheme="majorHAnsi" w:eastAsia="Times New Roman" w:hAnsiTheme="majorHAnsi" w:cstheme="minorHAnsi"/>
          <w:b/>
          <w:szCs w:val="24"/>
          <w:lang w:val="sr-Latn-CS"/>
        </w:rPr>
        <w:t>00 m</w:t>
      </w:r>
      <w:r w:rsidRPr="002A0BEE">
        <w:rPr>
          <w:rFonts w:asciiTheme="majorHAnsi" w:eastAsia="Times New Roman" w:hAnsiTheme="majorHAnsi" w:cstheme="minorHAnsi"/>
          <w:b/>
          <w:szCs w:val="24"/>
          <w:vertAlign w:val="superscript"/>
          <w:lang w:val="sr-Latn-CS"/>
        </w:rPr>
        <w:t>3</w:t>
      </w:r>
      <w:r w:rsidRPr="002A0BEE">
        <w:rPr>
          <w:rFonts w:asciiTheme="majorHAnsi" w:eastAsia="Times New Roman" w:hAnsiTheme="majorHAnsi" w:cstheme="minorHAnsi"/>
          <w:b/>
          <w:szCs w:val="24"/>
          <w:lang w:val="sr-Latn-CS"/>
        </w:rPr>
        <w:t xml:space="preserve"> tombolona i komercijalnog bloka godišnja koncesiona naknada, kao stalni dio, iznosi </w:t>
      </w:r>
      <w:r w:rsidR="00A50B2C" w:rsidRPr="002A0BEE">
        <w:rPr>
          <w:rFonts w:asciiTheme="majorHAnsi" w:eastAsia="Times New Roman" w:hAnsiTheme="majorHAnsi" w:cstheme="minorHAnsi"/>
          <w:b/>
          <w:szCs w:val="24"/>
          <w:lang w:val="sr-Latn-CS"/>
        </w:rPr>
        <w:t>46.900</w:t>
      </w:r>
      <w:r w:rsidRPr="002A0BEE">
        <w:rPr>
          <w:rFonts w:asciiTheme="majorHAnsi" w:eastAsia="Times New Roman" w:hAnsiTheme="majorHAnsi" w:cstheme="minorHAnsi"/>
          <w:b/>
          <w:szCs w:val="24"/>
          <w:lang w:val="sr-Latn-CS"/>
        </w:rPr>
        <w:t xml:space="preserve">,00 €. </w:t>
      </w:r>
    </w:p>
    <w:p w:rsidR="00A50B2C" w:rsidRPr="002A0BEE" w:rsidRDefault="00A50B2C" w:rsidP="00025495">
      <w:pPr>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 xml:space="preserve">Za minimalnu godišnju proizvodnju </w:t>
      </w:r>
      <w:r w:rsidR="00FB5C1C" w:rsidRPr="002A0BEE">
        <w:rPr>
          <w:rFonts w:asciiTheme="majorHAnsi" w:eastAsia="Times New Roman" w:hAnsiTheme="majorHAnsi" w:cstheme="minorHAnsi"/>
          <w:b/>
          <w:szCs w:val="24"/>
          <w:lang w:val="sr-Latn-CS"/>
        </w:rPr>
        <w:t xml:space="preserve">tehničko-građevinskog kamena </w:t>
      </w:r>
      <w:r w:rsidRPr="002A0BEE">
        <w:rPr>
          <w:rFonts w:asciiTheme="majorHAnsi" w:eastAsia="Times New Roman" w:hAnsiTheme="majorHAnsi" w:cstheme="minorHAnsi"/>
          <w:b/>
          <w:szCs w:val="24"/>
          <w:lang w:val="sr-Latn-CS"/>
        </w:rPr>
        <w:t>od 7.091 m</w:t>
      </w:r>
      <w:r w:rsidRPr="002A0BEE">
        <w:rPr>
          <w:rFonts w:asciiTheme="majorHAnsi" w:eastAsia="Times New Roman" w:hAnsiTheme="majorHAnsi" w:cstheme="minorHAnsi"/>
          <w:b/>
          <w:szCs w:val="24"/>
          <w:vertAlign w:val="superscript"/>
          <w:lang w:val="sr-Latn-CS"/>
        </w:rPr>
        <w:t>3</w:t>
      </w:r>
      <w:r w:rsidRPr="002A0BEE">
        <w:rPr>
          <w:rFonts w:asciiTheme="majorHAnsi" w:eastAsia="Times New Roman" w:hAnsiTheme="majorHAnsi" w:cstheme="minorHAnsi"/>
          <w:b/>
          <w:szCs w:val="24"/>
          <w:lang w:val="sr-Latn-CS"/>
        </w:rPr>
        <w:t xml:space="preserve"> č.s.m. godišnja koncesiona naknada, kao stalni dio, iznosi 1</w:t>
      </w:r>
      <w:r w:rsidR="00581AED" w:rsidRPr="002A0BEE">
        <w:rPr>
          <w:rFonts w:asciiTheme="majorHAnsi" w:eastAsia="Times New Roman" w:hAnsiTheme="majorHAnsi" w:cstheme="minorHAnsi"/>
          <w:b/>
          <w:szCs w:val="24"/>
          <w:lang w:val="sr-Latn-CS"/>
        </w:rPr>
        <w:t>3</w:t>
      </w:r>
      <w:r w:rsidRPr="002A0BEE">
        <w:rPr>
          <w:rFonts w:asciiTheme="majorHAnsi" w:eastAsia="Times New Roman" w:hAnsiTheme="majorHAnsi" w:cstheme="minorHAnsi"/>
          <w:b/>
          <w:szCs w:val="24"/>
          <w:lang w:val="sr-Latn-CS"/>
        </w:rPr>
        <w:t>.</w:t>
      </w:r>
      <w:r w:rsidR="00581AED" w:rsidRPr="002A0BEE">
        <w:rPr>
          <w:rFonts w:asciiTheme="majorHAnsi" w:eastAsia="Times New Roman" w:hAnsiTheme="majorHAnsi" w:cstheme="minorHAnsi"/>
          <w:b/>
          <w:szCs w:val="24"/>
          <w:lang w:val="sr-Latn-CS"/>
        </w:rPr>
        <w:t>0</w:t>
      </w:r>
      <w:r w:rsidRPr="002A0BEE">
        <w:rPr>
          <w:rFonts w:asciiTheme="majorHAnsi" w:eastAsia="Times New Roman" w:hAnsiTheme="majorHAnsi" w:cstheme="minorHAnsi"/>
          <w:b/>
          <w:szCs w:val="24"/>
          <w:lang w:val="sr-Latn-CS"/>
        </w:rPr>
        <w:t>8</w:t>
      </w:r>
      <w:r w:rsidR="00581AED" w:rsidRPr="002A0BEE">
        <w:rPr>
          <w:rFonts w:asciiTheme="majorHAnsi" w:eastAsia="Times New Roman" w:hAnsiTheme="majorHAnsi" w:cstheme="minorHAnsi"/>
          <w:b/>
          <w:szCs w:val="24"/>
          <w:lang w:val="sr-Latn-CS"/>
        </w:rPr>
        <w:t>7</w:t>
      </w:r>
      <w:r w:rsidRPr="002A0BEE">
        <w:rPr>
          <w:rFonts w:asciiTheme="majorHAnsi" w:eastAsia="Times New Roman" w:hAnsiTheme="majorHAnsi" w:cstheme="minorHAnsi"/>
          <w:b/>
          <w:szCs w:val="24"/>
          <w:lang w:val="sr-Latn-CS"/>
        </w:rPr>
        <w:t>,</w:t>
      </w:r>
      <w:r w:rsidR="00581AED" w:rsidRPr="002A0BEE">
        <w:rPr>
          <w:rFonts w:asciiTheme="majorHAnsi" w:eastAsia="Times New Roman" w:hAnsiTheme="majorHAnsi" w:cstheme="minorHAnsi"/>
          <w:b/>
          <w:szCs w:val="24"/>
          <w:lang w:val="sr-Latn-CS"/>
        </w:rPr>
        <w:t>8</w:t>
      </w:r>
      <w:r w:rsidRPr="002A0BEE">
        <w:rPr>
          <w:rFonts w:asciiTheme="majorHAnsi" w:eastAsia="Times New Roman" w:hAnsiTheme="majorHAnsi" w:cstheme="minorHAnsi"/>
          <w:b/>
          <w:szCs w:val="24"/>
          <w:lang w:val="sr-Latn-CS"/>
        </w:rPr>
        <w:t>0 €.</w:t>
      </w:r>
    </w:p>
    <w:p w:rsidR="00FB5C1C" w:rsidRPr="002A0BEE" w:rsidRDefault="00FB5C1C" w:rsidP="00025495">
      <w:pPr>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 xml:space="preserve">Ukupna minimalna godišnja koncesiona </w:t>
      </w:r>
      <w:r w:rsidR="00C27FD6" w:rsidRPr="002A0BEE">
        <w:rPr>
          <w:rFonts w:asciiTheme="majorHAnsi" w:eastAsia="Times New Roman" w:hAnsiTheme="majorHAnsi" w:cstheme="minorHAnsi"/>
          <w:b/>
          <w:szCs w:val="24"/>
          <w:lang w:val="sr-Latn-CS"/>
        </w:rPr>
        <w:t>naknada iznosi 5</w:t>
      </w:r>
      <w:r w:rsidR="00581AED" w:rsidRPr="002A0BEE">
        <w:rPr>
          <w:rFonts w:asciiTheme="majorHAnsi" w:eastAsia="Times New Roman" w:hAnsiTheme="majorHAnsi" w:cstheme="minorHAnsi"/>
          <w:b/>
          <w:szCs w:val="24"/>
          <w:lang w:val="sr-Latn-CS"/>
        </w:rPr>
        <w:t>9</w:t>
      </w:r>
      <w:r w:rsidR="00C27FD6" w:rsidRPr="002A0BEE">
        <w:rPr>
          <w:rFonts w:asciiTheme="majorHAnsi" w:eastAsia="Times New Roman" w:hAnsiTheme="majorHAnsi" w:cstheme="minorHAnsi"/>
          <w:b/>
          <w:szCs w:val="24"/>
          <w:lang w:val="sr-Latn-CS"/>
        </w:rPr>
        <w:t>.</w:t>
      </w:r>
      <w:r w:rsidR="00581AED" w:rsidRPr="002A0BEE">
        <w:rPr>
          <w:rFonts w:asciiTheme="majorHAnsi" w:eastAsia="Times New Roman" w:hAnsiTheme="majorHAnsi" w:cstheme="minorHAnsi"/>
          <w:b/>
          <w:szCs w:val="24"/>
          <w:lang w:val="sr-Latn-CS"/>
        </w:rPr>
        <w:t>98</w:t>
      </w:r>
      <w:r w:rsidR="00C27FD6" w:rsidRPr="002A0BEE">
        <w:rPr>
          <w:rFonts w:asciiTheme="majorHAnsi" w:eastAsia="Times New Roman" w:hAnsiTheme="majorHAnsi" w:cstheme="minorHAnsi"/>
          <w:b/>
          <w:szCs w:val="24"/>
          <w:lang w:val="sr-Latn-CS"/>
        </w:rPr>
        <w:t>7,</w:t>
      </w:r>
      <w:r w:rsidR="00581AED" w:rsidRPr="002A0BEE">
        <w:rPr>
          <w:rFonts w:asciiTheme="majorHAnsi" w:eastAsia="Times New Roman" w:hAnsiTheme="majorHAnsi" w:cstheme="minorHAnsi"/>
          <w:b/>
          <w:szCs w:val="24"/>
          <w:lang w:val="sr-Latn-CS"/>
        </w:rPr>
        <w:t>8</w:t>
      </w:r>
      <w:r w:rsidR="00C27FD6" w:rsidRPr="002A0BEE">
        <w:rPr>
          <w:rFonts w:asciiTheme="majorHAnsi" w:eastAsia="Times New Roman" w:hAnsiTheme="majorHAnsi" w:cstheme="minorHAnsi"/>
          <w:b/>
          <w:szCs w:val="24"/>
          <w:lang w:val="sr-Latn-CS"/>
        </w:rPr>
        <w:t>0 €.</w:t>
      </w:r>
    </w:p>
    <w:p w:rsidR="006D21B7" w:rsidRDefault="00957AD0"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Iznos stalnog dijela koncesione naknade može biti veći, a utvrđuje se Ugovorom o koncesiji u zavisnosti od ponuđenog obima proizvodnje i ponuđenog procentualnog iznosa za obračun.</w:t>
      </w:r>
    </w:p>
    <w:p w:rsidR="0021277B" w:rsidRDefault="0021277B" w:rsidP="00025495">
      <w:pPr>
        <w:jc w:val="both"/>
        <w:rPr>
          <w:rFonts w:asciiTheme="majorHAnsi" w:eastAsia="Times New Roman" w:hAnsiTheme="majorHAnsi" w:cstheme="minorHAnsi"/>
          <w:szCs w:val="24"/>
          <w:lang w:val="sr-Latn-CS"/>
        </w:rPr>
      </w:pPr>
    </w:p>
    <w:p w:rsidR="0021277B" w:rsidRDefault="0021277B" w:rsidP="00025495">
      <w:pPr>
        <w:jc w:val="both"/>
        <w:rPr>
          <w:rFonts w:asciiTheme="majorHAnsi" w:eastAsia="Times New Roman" w:hAnsiTheme="majorHAnsi" w:cstheme="minorHAnsi"/>
          <w:szCs w:val="24"/>
          <w:lang w:val="sr-Latn-CS"/>
        </w:rPr>
      </w:pPr>
    </w:p>
    <w:p w:rsidR="0021277B" w:rsidRPr="002A0BEE" w:rsidRDefault="0021277B" w:rsidP="00025495">
      <w:pPr>
        <w:jc w:val="both"/>
        <w:rPr>
          <w:rFonts w:asciiTheme="majorHAnsi" w:eastAsia="Times New Roman" w:hAnsiTheme="majorHAnsi" w:cstheme="minorHAnsi"/>
          <w:szCs w:val="24"/>
          <w:lang w:val="sr-Latn-CS"/>
        </w:rPr>
      </w:pPr>
    </w:p>
    <w:p w:rsidR="00957AD0" w:rsidRPr="002A0BEE" w:rsidRDefault="00957AD0" w:rsidP="0055031D">
      <w:pPr>
        <w:pStyle w:val="Heading4"/>
        <w:numPr>
          <w:ilvl w:val="1"/>
          <w:numId w:val="47"/>
        </w:numPr>
        <w:spacing w:before="0" w:after="200"/>
        <w:rPr>
          <w:rFonts w:eastAsia="Times New Roman" w:cstheme="minorHAnsi"/>
          <w:color w:val="auto"/>
          <w:szCs w:val="24"/>
          <w:lang w:val="sr-Latn-CS"/>
        </w:rPr>
      </w:pPr>
      <w:r w:rsidRPr="002A0BEE">
        <w:rPr>
          <w:rFonts w:eastAsia="Times New Roman" w:cstheme="minorHAnsi"/>
          <w:color w:val="auto"/>
          <w:szCs w:val="24"/>
          <w:lang w:val="sr-Latn-CS"/>
        </w:rPr>
        <w:t>Plan radne snage</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0"/>
        <w:gridCol w:w="4305"/>
        <w:gridCol w:w="6"/>
        <w:gridCol w:w="1614"/>
        <w:gridCol w:w="6"/>
        <w:gridCol w:w="1887"/>
      </w:tblGrid>
      <w:tr w:rsidR="00957AD0" w:rsidRPr="002A0BEE" w:rsidTr="00957AD0">
        <w:trPr>
          <w:trHeight w:val="665"/>
        </w:trPr>
        <w:tc>
          <w:tcPr>
            <w:tcW w:w="1020" w:type="dxa"/>
            <w:tcBorders>
              <w:top w:val="double" w:sz="4" w:space="0" w:color="auto"/>
              <w:left w:val="double" w:sz="4" w:space="0" w:color="auto"/>
              <w:bottom w:val="double" w:sz="4" w:space="0" w:color="auto"/>
            </w:tcBorders>
            <w:shd w:val="clear" w:color="auto" w:fill="FFC000"/>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Red.br.</w:t>
            </w:r>
          </w:p>
        </w:tc>
        <w:tc>
          <w:tcPr>
            <w:tcW w:w="4311" w:type="dxa"/>
            <w:gridSpan w:val="2"/>
            <w:tcBorders>
              <w:top w:val="double" w:sz="4" w:space="0" w:color="auto"/>
              <w:bottom w:val="double" w:sz="4" w:space="0" w:color="auto"/>
            </w:tcBorders>
            <w:shd w:val="clear" w:color="auto" w:fill="FFC000"/>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Naziv radnog mjesta</w:t>
            </w:r>
          </w:p>
        </w:tc>
        <w:tc>
          <w:tcPr>
            <w:tcW w:w="1620" w:type="dxa"/>
            <w:gridSpan w:val="2"/>
            <w:tcBorders>
              <w:top w:val="double" w:sz="4" w:space="0" w:color="auto"/>
              <w:bottom w:val="double" w:sz="4" w:space="0" w:color="auto"/>
            </w:tcBorders>
            <w:shd w:val="clear" w:color="auto" w:fill="FFC000"/>
            <w:vAlign w:val="center"/>
          </w:tcPr>
          <w:p w:rsidR="00957AD0" w:rsidRPr="002A0BEE" w:rsidRDefault="00957AD0" w:rsidP="002E447F">
            <w:pPr>
              <w:rPr>
                <w:rFonts w:asciiTheme="majorHAnsi" w:hAnsiTheme="majorHAnsi" w:cstheme="minorHAnsi"/>
                <w:b/>
                <w:szCs w:val="24"/>
                <w:lang w:val="sr-Latn-CS"/>
              </w:rPr>
            </w:pPr>
            <w:r w:rsidRPr="002A0BEE">
              <w:rPr>
                <w:rFonts w:asciiTheme="majorHAnsi" w:hAnsiTheme="majorHAnsi" w:cstheme="minorHAnsi"/>
                <w:b/>
                <w:szCs w:val="24"/>
                <w:lang w:val="sr-Latn-CS"/>
              </w:rPr>
              <w:t>Škol. sprema</w:t>
            </w:r>
          </w:p>
        </w:tc>
        <w:tc>
          <w:tcPr>
            <w:tcW w:w="1887" w:type="dxa"/>
            <w:tcBorders>
              <w:top w:val="double" w:sz="4" w:space="0" w:color="auto"/>
              <w:bottom w:val="double" w:sz="4" w:space="0" w:color="auto"/>
              <w:right w:val="double" w:sz="4" w:space="0" w:color="auto"/>
            </w:tcBorders>
            <w:shd w:val="clear" w:color="auto" w:fill="FFC000"/>
            <w:vAlign w:val="center"/>
          </w:tcPr>
          <w:p w:rsidR="00957AD0" w:rsidRPr="002A0BEE" w:rsidRDefault="00957AD0" w:rsidP="002E447F">
            <w:pPr>
              <w:rPr>
                <w:rFonts w:asciiTheme="majorHAnsi" w:hAnsiTheme="majorHAnsi" w:cstheme="minorHAnsi"/>
                <w:b/>
                <w:szCs w:val="24"/>
                <w:lang w:val="sr-Latn-CS"/>
              </w:rPr>
            </w:pPr>
            <w:r w:rsidRPr="002A0BEE">
              <w:rPr>
                <w:rFonts w:asciiTheme="majorHAnsi" w:hAnsiTheme="majorHAnsi" w:cstheme="minorHAnsi"/>
                <w:b/>
                <w:szCs w:val="24"/>
                <w:lang w:val="sr-Latn-CS"/>
              </w:rPr>
              <w:t>Broj izvršilaca</w:t>
            </w:r>
          </w:p>
        </w:tc>
      </w:tr>
      <w:tr w:rsidR="00957AD0" w:rsidRPr="002A0BEE" w:rsidTr="00957AD0">
        <w:trPr>
          <w:trHeight w:val="393"/>
        </w:trPr>
        <w:tc>
          <w:tcPr>
            <w:tcW w:w="1020" w:type="dxa"/>
            <w:tcBorders>
              <w:top w:val="double" w:sz="4" w:space="0" w:color="auto"/>
              <w:left w:val="doub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1</w:t>
            </w:r>
          </w:p>
        </w:tc>
        <w:tc>
          <w:tcPr>
            <w:tcW w:w="4311" w:type="dxa"/>
            <w:gridSpan w:val="2"/>
            <w:tcBorders>
              <w:top w:val="double" w:sz="4" w:space="0" w:color="auto"/>
            </w:tcBorders>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Tehnički rukovodilac PK (rudar. smjer)</w:t>
            </w:r>
          </w:p>
        </w:tc>
        <w:tc>
          <w:tcPr>
            <w:tcW w:w="1620" w:type="dxa"/>
            <w:gridSpan w:val="2"/>
            <w:tcBorders>
              <w:top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VSS</w:t>
            </w:r>
          </w:p>
        </w:tc>
        <w:tc>
          <w:tcPr>
            <w:tcW w:w="1887" w:type="dxa"/>
            <w:tcBorders>
              <w:top w:val="double" w:sz="4" w:space="0" w:color="auto"/>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w:t>
            </w:r>
          </w:p>
        </w:tc>
      </w:tr>
      <w:tr w:rsidR="00957AD0" w:rsidRPr="002A0BEE" w:rsidTr="00957AD0">
        <w:trPr>
          <w:trHeight w:val="242"/>
        </w:trPr>
        <w:tc>
          <w:tcPr>
            <w:tcW w:w="1020" w:type="dxa"/>
            <w:tcBorders>
              <w:left w:val="doub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2</w:t>
            </w:r>
          </w:p>
        </w:tc>
        <w:tc>
          <w:tcPr>
            <w:tcW w:w="4311" w:type="dxa"/>
            <w:gridSpan w:val="2"/>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Poslovođa</w:t>
            </w:r>
          </w:p>
        </w:tc>
        <w:tc>
          <w:tcPr>
            <w:tcW w:w="1620" w:type="dxa"/>
            <w:gridSpan w:val="2"/>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SSS</w:t>
            </w:r>
          </w:p>
        </w:tc>
        <w:tc>
          <w:tcPr>
            <w:tcW w:w="1887" w:type="dxa"/>
            <w:tcBorders>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w:t>
            </w:r>
          </w:p>
        </w:tc>
      </w:tr>
      <w:tr w:rsidR="00957AD0" w:rsidRPr="002A0BEE" w:rsidTr="00957AD0">
        <w:trPr>
          <w:trHeight w:val="282"/>
        </w:trPr>
        <w:tc>
          <w:tcPr>
            <w:tcW w:w="1020" w:type="dxa"/>
            <w:tcBorders>
              <w:left w:val="doub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3</w:t>
            </w:r>
          </w:p>
        </w:tc>
        <w:tc>
          <w:tcPr>
            <w:tcW w:w="4311" w:type="dxa"/>
            <w:gridSpan w:val="2"/>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Rukovaoc utovarača-bagerista</w:t>
            </w:r>
          </w:p>
        </w:tc>
        <w:tc>
          <w:tcPr>
            <w:tcW w:w="1620" w:type="dxa"/>
            <w:gridSpan w:val="2"/>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KV</w:t>
            </w:r>
          </w:p>
        </w:tc>
        <w:tc>
          <w:tcPr>
            <w:tcW w:w="1887" w:type="dxa"/>
            <w:tcBorders>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4</w:t>
            </w:r>
          </w:p>
        </w:tc>
      </w:tr>
      <w:tr w:rsidR="00957AD0" w:rsidRPr="002A0BEE" w:rsidTr="00957AD0">
        <w:trPr>
          <w:trHeight w:val="282"/>
        </w:trPr>
        <w:tc>
          <w:tcPr>
            <w:tcW w:w="1020" w:type="dxa"/>
            <w:tcBorders>
              <w:left w:val="doub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4</w:t>
            </w:r>
          </w:p>
        </w:tc>
        <w:tc>
          <w:tcPr>
            <w:tcW w:w="4311" w:type="dxa"/>
            <w:gridSpan w:val="2"/>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bušač</w:t>
            </w:r>
          </w:p>
        </w:tc>
        <w:tc>
          <w:tcPr>
            <w:tcW w:w="1620" w:type="dxa"/>
            <w:gridSpan w:val="2"/>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KV</w:t>
            </w:r>
          </w:p>
        </w:tc>
        <w:tc>
          <w:tcPr>
            <w:tcW w:w="1887" w:type="dxa"/>
            <w:tcBorders>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2</w:t>
            </w:r>
          </w:p>
        </w:tc>
      </w:tr>
      <w:tr w:rsidR="00957AD0" w:rsidRPr="002A0BEE" w:rsidTr="00957AD0">
        <w:trPr>
          <w:trHeight w:val="282"/>
        </w:trPr>
        <w:tc>
          <w:tcPr>
            <w:tcW w:w="1020" w:type="dxa"/>
            <w:tcBorders>
              <w:left w:val="doub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5</w:t>
            </w:r>
          </w:p>
        </w:tc>
        <w:tc>
          <w:tcPr>
            <w:tcW w:w="4311" w:type="dxa"/>
            <w:gridSpan w:val="2"/>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Rukovaoc sjekačice</w:t>
            </w:r>
          </w:p>
        </w:tc>
        <w:tc>
          <w:tcPr>
            <w:tcW w:w="1620" w:type="dxa"/>
            <w:gridSpan w:val="2"/>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 xml:space="preserve">          KV</w:t>
            </w:r>
          </w:p>
        </w:tc>
        <w:tc>
          <w:tcPr>
            <w:tcW w:w="1887" w:type="dxa"/>
            <w:tcBorders>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2</w:t>
            </w:r>
          </w:p>
        </w:tc>
      </w:tr>
      <w:tr w:rsidR="00957AD0" w:rsidRPr="002A0BEE" w:rsidTr="00957AD0">
        <w:trPr>
          <w:trHeight w:val="291"/>
        </w:trPr>
        <w:tc>
          <w:tcPr>
            <w:tcW w:w="1020" w:type="dxa"/>
            <w:tcBorders>
              <w:left w:val="doub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6</w:t>
            </w:r>
          </w:p>
        </w:tc>
        <w:tc>
          <w:tcPr>
            <w:tcW w:w="4311" w:type="dxa"/>
            <w:gridSpan w:val="2"/>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Vozač kamiona</w:t>
            </w:r>
          </w:p>
        </w:tc>
        <w:tc>
          <w:tcPr>
            <w:tcW w:w="1620" w:type="dxa"/>
            <w:gridSpan w:val="2"/>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KV</w:t>
            </w:r>
          </w:p>
        </w:tc>
        <w:tc>
          <w:tcPr>
            <w:tcW w:w="1887" w:type="dxa"/>
            <w:tcBorders>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w:t>
            </w:r>
          </w:p>
        </w:tc>
      </w:tr>
      <w:tr w:rsidR="00957AD0" w:rsidRPr="002A0BEE" w:rsidTr="00957AD0">
        <w:trPr>
          <w:trHeight w:val="291"/>
        </w:trPr>
        <w:tc>
          <w:tcPr>
            <w:tcW w:w="1020" w:type="dxa"/>
            <w:tcBorders>
              <w:left w:val="doub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7</w:t>
            </w:r>
          </w:p>
        </w:tc>
        <w:tc>
          <w:tcPr>
            <w:tcW w:w="4311" w:type="dxa"/>
            <w:gridSpan w:val="2"/>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Stražar</w:t>
            </w:r>
          </w:p>
        </w:tc>
        <w:tc>
          <w:tcPr>
            <w:tcW w:w="1620" w:type="dxa"/>
            <w:gridSpan w:val="2"/>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SSS</w:t>
            </w:r>
          </w:p>
        </w:tc>
        <w:tc>
          <w:tcPr>
            <w:tcW w:w="1887" w:type="dxa"/>
            <w:tcBorders>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4</w:t>
            </w:r>
          </w:p>
        </w:tc>
      </w:tr>
      <w:tr w:rsidR="00957AD0" w:rsidRPr="002A0BEE" w:rsidTr="00957AD0">
        <w:trPr>
          <w:trHeight w:val="269"/>
        </w:trPr>
        <w:tc>
          <w:tcPr>
            <w:tcW w:w="1020" w:type="dxa"/>
            <w:tcBorders>
              <w:left w:val="double" w:sz="4" w:space="0" w:color="auto"/>
            </w:tcBorders>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8</w:t>
            </w:r>
          </w:p>
        </w:tc>
        <w:tc>
          <w:tcPr>
            <w:tcW w:w="4311" w:type="dxa"/>
            <w:gridSpan w:val="2"/>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Pomoćnik bušača</w:t>
            </w:r>
          </w:p>
        </w:tc>
        <w:tc>
          <w:tcPr>
            <w:tcW w:w="1620" w:type="dxa"/>
            <w:gridSpan w:val="2"/>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KV</w:t>
            </w:r>
          </w:p>
        </w:tc>
        <w:tc>
          <w:tcPr>
            <w:tcW w:w="1887" w:type="dxa"/>
            <w:tcBorders>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2</w:t>
            </w:r>
          </w:p>
        </w:tc>
      </w:tr>
      <w:tr w:rsidR="00957AD0" w:rsidRPr="002A0BEE" w:rsidTr="00957AD0">
        <w:tblPrEx>
          <w:tblLook w:val="0000"/>
        </w:tblPrEx>
        <w:trPr>
          <w:trHeight w:val="435"/>
        </w:trPr>
        <w:tc>
          <w:tcPr>
            <w:tcW w:w="1020" w:type="dxa"/>
            <w:tcBorders>
              <w:left w:val="double" w:sz="4" w:space="0" w:color="auto"/>
            </w:tcBorders>
          </w:tcPr>
          <w:p w:rsidR="00957AD0" w:rsidRPr="002A0BEE" w:rsidRDefault="00957AD0" w:rsidP="002E447F">
            <w:pPr>
              <w:ind w:left="108"/>
              <w:jc w:val="both"/>
              <w:rPr>
                <w:rFonts w:asciiTheme="majorHAnsi" w:hAnsiTheme="majorHAnsi" w:cstheme="minorHAnsi"/>
                <w:szCs w:val="24"/>
                <w:lang w:val="sr-Latn-CS"/>
              </w:rPr>
            </w:pPr>
            <w:r w:rsidRPr="002A0BEE">
              <w:rPr>
                <w:rFonts w:asciiTheme="majorHAnsi" w:hAnsiTheme="majorHAnsi" w:cstheme="minorHAnsi"/>
                <w:b/>
                <w:szCs w:val="24"/>
                <w:lang w:val="sr-Latn-CS"/>
              </w:rPr>
              <w:t xml:space="preserve">    9</w:t>
            </w:r>
          </w:p>
        </w:tc>
        <w:tc>
          <w:tcPr>
            <w:tcW w:w="4305" w:type="dxa"/>
          </w:tcPr>
          <w:p w:rsidR="00957AD0" w:rsidRPr="002A0BEE" w:rsidRDefault="00957AD0" w:rsidP="002E447F">
            <w:pPr>
              <w:jc w:val="both"/>
              <w:rPr>
                <w:rFonts w:asciiTheme="majorHAnsi" w:hAnsiTheme="majorHAnsi" w:cstheme="minorHAnsi"/>
                <w:szCs w:val="24"/>
                <w:lang w:val="sr-Latn-CS"/>
              </w:rPr>
            </w:pPr>
            <w:r w:rsidRPr="002A0BEE">
              <w:rPr>
                <w:rFonts w:asciiTheme="majorHAnsi" w:hAnsiTheme="majorHAnsi" w:cstheme="minorHAnsi"/>
                <w:szCs w:val="24"/>
                <w:lang w:val="sr-Latn-CS"/>
              </w:rPr>
              <w:t>Pomoćnik rukovaoca sjekačice</w:t>
            </w:r>
          </w:p>
        </w:tc>
        <w:tc>
          <w:tcPr>
            <w:tcW w:w="1620" w:type="dxa"/>
            <w:gridSpan w:val="2"/>
          </w:tcPr>
          <w:p w:rsidR="00957AD0" w:rsidRPr="002A0BEE" w:rsidRDefault="00957AD0" w:rsidP="002E447F">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KV</w:t>
            </w:r>
          </w:p>
        </w:tc>
        <w:tc>
          <w:tcPr>
            <w:tcW w:w="1893" w:type="dxa"/>
            <w:gridSpan w:val="2"/>
            <w:tcBorders>
              <w:right w:val="double" w:sz="4" w:space="0" w:color="auto"/>
            </w:tcBorders>
          </w:tcPr>
          <w:p w:rsidR="00957AD0" w:rsidRPr="002A0BEE" w:rsidRDefault="00957AD0" w:rsidP="002E447F">
            <w:pPr>
              <w:ind w:left="108"/>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2</w:t>
            </w:r>
          </w:p>
        </w:tc>
      </w:tr>
      <w:tr w:rsidR="00957AD0" w:rsidRPr="002A0BEE" w:rsidTr="00957AD0">
        <w:tblPrEx>
          <w:tblLook w:val="0000"/>
        </w:tblPrEx>
        <w:trPr>
          <w:trHeight w:val="495"/>
        </w:trPr>
        <w:tc>
          <w:tcPr>
            <w:tcW w:w="1020" w:type="dxa"/>
            <w:tcBorders>
              <w:left w:val="double" w:sz="4" w:space="0" w:color="auto"/>
              <w:bottom w:val="double" w:sz="4" w:space="0" w:color="auto"/>
            </w:tcBorders>
          </w:tcPr>
          <w:p w:rsidR="00957AD0" w:rsidRPr="002A0BEE" w:rsidRDefault="00957AD0" w:rsidP="002E447F">
            <w:pPr>
              <w:ind w:left="108"/>
              <w:rPr>
                <w:rFonts w:asciiTheme="majorHAnsi" w:hAnsiTheme="majorHAnsi" w:cstheme="minorHAnsi"/>
                <w:b/>
                <w:szCs w:val="24"/>
                <w:lang w:val="sr-Latn-CS"/>
              </w:rPr>
            </w:pPr>
            <w:r w:rsidRPr="002A0BEE">
              <w:rPr>
                <w:rFonts w:asciiTheme="majorHAnsi" w:hAnsiTheme="majorHAnsi" w:cstheme="minorHAnsi"/>
                <w:b/>
                <w:szCs w:val="24"/>
                <w:lang w:val="sr-Latn-CS"/>
              </w:rPr>
              <w:t xml:space="preserve">    10</w:t>
            </w:r>
          </w:p>
        </w:tc>
        <w:tc>
          <w:tcPr>
            <w:tcW w:w="4305" w:type="dxa"/>
            <w:tcBorders>
              <w:bottom w:val="double" w:sz="4" w:space="0" w:color="auto"/>
            </w:tcBorders>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Rukovaoc derik krana</w:t>
            </w:r>
          </w:p>
        </w:tc>
        <w:tc>
          <w:tcPr>
            <w:tcW w:w="1620" w:type="dxa"/>
            <w:gridSpan w:val="2"/>
            <w:tcBorders>
              <w:bottom w:val="double" w:sz="4" w:space="0" w:color="auto"/>
            </w:tcBorders>
          </w:tcPr>
          <w:p w:rsidR="00957AD0" w:rsidRPr="002A0BEE" w:rsidRDefault="00957AD0" w:rsidP="002E447F">
            <w:pPr>
              <w:ind w:left="108"/>
              <w:rPr>
                <w:rFonts w:asciiTheme="majorHAnsi" w:hAnsiTheme="majorHAnsi" w:cstheme="minorHAnsi"/>
                <w:szCs w:val="24"/>
                <w:lang w:val="sr-Latn-CS"/>
              </w:rPr>
            </w:pPr>
            <w:r w:rsidRPr="002A0BEE">
              <w:rPr>
                <w:rFonts w:asciiTheme="majorHAnsi" w:hAnsiTheme="majorHAnsi" w:cstheme="minorHAnsi"/>
                <w:szCs w:val="24"/>
                <w:lang w:val="sr-Latn-CS"/>
              </w:rPr>
              <w:t xml:space="preserve">        KV</w:t>
            </w:r>
          </w:p>
        </w:tc>
        <w:tc>
          <w:tcPr>
            <w:tcW w:w="1893" w:type="dxa"/>
            <w:gridSpan w:val="2"/>
            <w:tcBorders>
              <w:bottom w:val="double" w:sz="4" w:space="0" w:color="auto"/>
              <w:right w:val="double" w:sz="4" w:space="0" w:color="auto"/>
            </w:tcBorders>
          </w:tcPr>
          <w:p w:rsidR="00957AD0" w:rsidRPr="002A0BEE" w:rsidRDefault="00957AD0" w:rsidP="002E447F">
            <w:pPr>
              <w:ind w:left="108"/>
              <w:rPr>
                <w:rFonts w:asciiTheme="majorHAnsi" w:hAnsiTheme="majorHAnsi" w:cstheme="minorHAnsi"/>
                <w:szCs w:val="24"/>
                <w:lang w:val="sr-Latn-CS"/>
              </w:rPr>
            </w:pPr>
            <w:r w:rsidRPr="002A0BEE">
              <w:rPr>
                <w:rFonts w:asciiTheme="majorHAnsi" w:hAnsiTheme="majorHAnsi" w:cstheme="minorHAnsi"/>
                <w:szCs w:val="24"/>
                <w:lang w:val="sr-Latn-CS"/>
              </w:rPr>
              <w:t xml:space="preserve">            2</w:t>
            </w:r>
          </w:p>
        </w:tc>
      </w:tr>
      <w:tr w:rsidR="00957AD0" w:rsidRPr="002A0BEE" w:rsidTr="00957AD0">
        <w:tblPrEx>
          <w:tblLook w:val="0000"/>
        </w:tblPrEx>
        <w:trPr>
          <w:trHeight w:val="242"/>
        </w:trPr>
        <w:tc>
          <w:tcPr>
            <w:tcW w:w="6945" w:type="dxa"/>
            <w:gridSpan w:val="4"/>
            <w:tcBorders>
              <w:top w:val="double" w:sz="4" w:space="0" w:color="auto"/>
              <w:left w:val="double" w:sz="4" w:space="0" w:color="auto"/>
              <w:bottom w:val="double" w:sz="4" w:space="0" w:color="auto"/>
            </w:tcBorders>
          </w:tcPr>
          <w:p w:rsidR="00957AD0" w:rsidRPr="002A0BEE" w:rsidRDefault="00957AD0" w:rsidP="002E447F">
            <w:pPr>
              <w:ind w:left="108"/>
              <w:rPr>
                <w:rFonts w:asciiTheme="majorHAnsi" w:hAnsiTheme="majorHAnsi" w:cstheme="minorHAnsi"/>
                <w:b/>
                <w:szCs w:val="24"/>
                <w:lang w:val="sr-Latn-CS"/>
              </w:rPr>
            </w:pPr>
            <w:r w:rsidRPr="002A0BEE">
              <w:rPr>
                <w:rFonts w:asciiTheme="majorHAnsi" w:hAnsiTheme="majorHAnsi" w:cstheme="minorHAnsi"/>
                <w:b/>
                <w:szCs w:val="24"/>
                <w:lang w:val="sr-Latn-CS"/>
              </w:rPr>
              <w:t>Ukupno:</w:t>
            </w:r>
          </w:p>
        </w:tc>
        <w:tc>
          <w:tcPr>
            <w:tcW w:w="1893" w:type="dxa"/>
            <w:gridSpan w:val="2"/>
            <w:tcBorders>
              <w:top w:val="double" w:sz="4" w:space="0" w:color="auto"/>
              <w:bottom w:val="double" w:sz="4" w:space="0" w:color="auto"/>
              <w:right w:val="double" w:sz="4" w:space="0" w:color="auto"/>
            </w:tcBorders>
          </w:tcPr>
          <w:p w:rsidR="00957AD0" w:rsidRPr="002A0BEE" w:rsidRDefault="00957AD0" w:rsidP="002E447F">
            <w:pPr>
              <w:ind w:left="108"/>
              <w:rPr>
                <w:rFonts w:asciiTheme="majorHAnsi" w:hAnsiTheme="majorHAnsi" w:cstheme="minorHAnsi"/>
                <w:szCs w:val="24"/>
                <w:lang w:val="sr-Latn-CS"/>
              </w:rPr>
            </w:pPr>
            <w:r w:rsidRPr="002A0BEE">
              <w:rPr>
                <w:rFonts w:asciiTheme="majorHAnsi" w:hAnsiTheme="majorHAnsi" w:cstheme="minorHAnsi"/>
                <w:szCs w:val="24"/>
                <w:lang w:val="sr-Latn-CS"/>
              </w:rPr>
              <w:t xml:space="preserve">           21</w:t>
            </w:r>
          </w:p>
        </w:tc>
      </w:tr>
    </w:tbl>
    <w:p w:rsidR="00957AD0" w:rsidRPr="002A0BEE" w:rsidRDefault="00957AD0" w:rsidP="002E447F">
      <w:pPr>
        <w:rPr>
          <w:rFonts w:asciiTheme="majorHAnsi" w:eastAsia="Times New Roman" w:hAnsiTheme="majorHAnsi" w:cstheme="minorHAnsi"/>
          <w:b/>
          <w:bCs/>
          <w:iCs/>
          <w:szCs w:val="24"/>
          <w:lang w:val="sr-Latn-CS"/>
        </w:rPr>
      </w:pPr>
    </w:p>
    <w:p w:rsidR="0021277B" w:rsidRDefault="0021277B" w:rsidP="00025495">
      <w:pPr>
        <w:jc w:val="both"/>
        <w:rPr>
          <w:rFonts w:asciiTheme="majorHAnsi" w:eastAsia="Times New Roman" w:hAnsiTheme="majorHAnsi" w:cstheme="minorHAnsi"/>
          <w:szCs w:val="24"/>
          <w:lang w:val="sr-Latn-CS"/>
        </w:rPr>
      </w:pPr>
    </w:p>
    <w:p w:rsidR="00347B57" w:rsidRDefault="00347B57"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Ponuđač je obavezan da navede planirani broj zaposlenih, sa stručnim kvalifikacijama.  Zaposleni treba da ispunjavaju uslove propisane čl. 93 Zakona o rudarstvu („Sl. list CG“, br. 65/08, 74/10 i 40/11). Svi zaposeni podliježu provjeri poznavanja propisa iz oblasti na radu.</w:t>
      </w:r>
    </w:p>
    <w:p w:rsidR="0021277B" w:rsidRDefault="0021277B" w:rsidP="00025495">
      <w:pPr>
        <w:jc w:val="both"/>
        <w:rPr>
          <w:rFonts w:asciiTheme="majorHAnsi" w:eastAsia="Times New Roman" w:hAnsiTheme="majorHAnsi" w:cstheme="minorHAnsi"/>
          <w:szCs w:val="24"/>
          <w:lang w:val="sr-Latn-CS"/>
        </w:rPr>
      </w:pPr>
    </w:p>
    <w:p w:rsidR="0021277B" w:rsidRPr="002A0BEE" w:rsidRDefault="0021277B" w:rsidP="00025495">
      <w:pPr>
        <w:jc w:val="both"/>
        <w:rPr>
          <w:rFonts w:asciiTheme="majorHAnsi" w:eastAsia="Times New Roman" w:hAnsiTheme="majorHAnsi" w:cstheme="minorHAnsi"/>
          <w:szCs w:val="24"/>
          <w:lang w:val="sr-Latn-CS"/>
        </w:rPr>
      </w:pPr>
    </w:p>
    <w:p w:rsidR="00957AD0" w:rsidRPr="002A0BEE" w:rsidRDefault="00957AD0" w:rsidP="0055031D">
      <w:pPr>
        <w:pStyle w:val="Heading4"/>
        <w:numPr>
          <w:ilvl w:val="1"/>
          <w:numId w:val="47"/>
        </w:numPr>
        <w:spacing w:before="0" w:after="200"/>
        <w:rPr>
          <w:rFonts w:eastAsia="Times New Roman" w:cstheme="minorHAnsi"/>
          <w:color w:val="auto"/>
          <w:szCs w:val="24"/>
          <w:lang w:val="sr-Latn-CS"/>
        </w:rPr>
      </w:pPr>
      <w:r w:rsidRPr="002A0BEE">
        <w:rPr>
          <w:rFonts w:eastAsia="Times New Roman" w:cstheme="minorHAnsi"/>
          <w:color w:val="auto"/>
          <w:szCs w:val="24"/>
          <w:lang w:val="sr-Latn-CS"/>
        </w:rPr>
        <w:lastRenderedPageBreak/>
        <w:t>Investiciona ulaganja</w:t>
      </w:r>
    </w:p>
    <w:p w:rsidR="00957AD0" w:rsidRPr="002A0BEE" w:rsidRDefault="00957AD0" w:rsidP="00025495">
      <w:pPr>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Oprema i mehanizacija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0"/>
        <w:gridCol w:w="3240"/>
        <w:gridCol w:w="1440"/>
        <w:gridCol w:w="1625"/>
      </w:tblGrid>
      <w:tr w:rsidR="00957AD0" w:rsidRPr="002A0BEE" w:rsidTr="00957AD0">
        <w:trPr>
          <w:trHeight w:val="567"/>
        </w:trPr>
        <w:tc>
          <w:tcPr>
            <w:tcW w:w="1190" w:type="dxa"/>
            <w:tcBorders>
              <w:top w:val="double" w:sz="4" w:space="0" w:color="auto"/>
              <w:left w:val="double" w:sz="4" w:space="0" w:color="auto"/>
              <w:bottom w:val="double" w:sz="4" w:space="0" w:color="auto"/>
            </w:tcBorders>
            <w:shd w:val="clear" w:color="auto" w:fill="FFC000"/>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Red.broj</w:t>
            </w:r>
          </w:p>
        </w:tc>
        <w:tc>
          <w:tcPr>
            <w:tcW w:w="3240" w:type="dxa"/>
            <w:tcBorders>
              <w:top w:val="double" w:sz="4" w:space="0" w:color="auto"/>
              <w:bottom w:val="double" w:sz="4" w:space="0" w:color="auto"/>
            </w:tcBorders>
            <w:shd w:val="clear" w:color="auto" w:fill="FFC000"/>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Naziv opreme i mehanizacije</w:t>
            </w:r>
          </w:p>
        </w:tc>
        <w:tc>
          <w:tcPr>
            <w:tcW w:w="1440" w:type="dxa"/>
            <w:tcBorders>
              <w:top w:val="double" w:sz="4" w:space="0" w:color="auto"/>
              <w:bottom w:val="double" w:sz="4" w:space="0" w:color="auto"/>
            </w:tcBorders>
            <w:shd w:val="clear" w:color="auto" w:fill="FFC000"/>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Količina</w:t>
            </w:r>
          </w:p>
        </w:tc>
        <w:tc>
          <w:tcPr>
            <w:tcW w:w="1625" w:type="dxa"/>
            <w:tcBorders>
              <w:top w:val="double" w:sz="4" w:space="0" w:color="auto"/>
              <w:bottom w:val="double" w:sz="4" w:space="0" w:color="auto"/>
            </w:tcBorders>
            <w:shd w:val="clear" w:color="auto" w:fill="FFC000"/>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Cijena (€)</w:t>
            </w:r>
          </w:p>
        </w:tc>
      </w:tr>
      <w:tr w:rsidR="00957AD0" w:rsidRPr="002A0BEE" w:rsidTr="00957AD0">
        <w:tc>
          <w:tcPr>
            <w:tcW w:w="1190" w:type="dxa"/>
            <w:tcBorders>
              <w:top w:val="double" w:sz="4" w:space="0" w:color="auto"/>
              <w:left w:val="double" w:sz="4" w:space="0" w:color="auto"/>
            </w:tcBorders>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1</w:t>
            </w:r>
          </w:p>
        </w:tc>
        <w:tc>
          <w:tcPr>
            <w:tcW w:w="3240" w:type="dxa"/>
            <w:tcBorders>
              <w:top w:val="double" w:sz="4" w:space="0" w:color="auto"/>
            </w:tcBorders>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Utovarač</w:t>
            </w:r>
          </w:p>
        </w:tc>
        <w:tc>
          <w:tcPr>
            <w:tcW w:w="1440" w:type="dxa"/>
            <w:tcBorders>
              <w:top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2</w:t>
            </w:r>
          </w:p>
        </w:tc>
        <w:tc>
          <w:tcPr>
            <w:tcW w:w="1625" w:type="dxa"/>
            <w:tcBorders>
              <w:top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120.000</w:t>
            </w:r>
          </w:p>
        </w:tc>
      </w:tr>
      <w:tr w:rsidR="00957AD0" w:rsidRPr="002A0BEE" w:rsidTr="00957AD0">
        <w:tc>
          <w:tcPr>
            <w:tcW w:w="1190" w:type="dxa"/>
            <w:tcBorders>
              <w:left w:val="double" w:sz="4" w:space="0" w:color="auto"/>
            </w:tcBorders>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2</w:t>
            </w:r>
          </w:p>
        </w:tc>
        <w:tc>
          <w:tcPr>
            <w:tcW w:w="3240" w:type="dxa"/>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Bušilica sa kompresorom</w:t>
            </w:r>
          </w:p>
        </w:tc>
        <w:tc>
          <w:tcPr>
            <w:tcW w:w="1440"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2</w:t>
            </w:r>
          </w:p>
        </w:tc>
        <w:tc>
          <w:tcPr>
            <w:tcW w:w="1625"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 xml:space="preserve"> 60.000</w:t>
            </w:r>
          </w:p>
        </w:tc>
      </w:tr>
      <w:tr w:rsidR="00957AD0" w:rsidRPr="002A0BEE" w:rsidTr="00957AD0">
        <w:tc>
          <w:tcPr>
            <w:tcW w:w="1190" w:type="dxa"/>
            <w:tcBorders>
              <w:left w:val="double" w:sz="4" w:space="0" w:color="auto"/>
            </w:tcBorders>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3</w:t>
            </w:r>
          </w:p>
        </w:tc>
        <w:tc>
          <w:tcPr>
            <w:tcW w:w="3240" w:type="dxa"/>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Derik kran</w:t>
            </w:r>
          </w:p>
        </w:tc>
        <w:tc>
          <w:tcPr>
            <w:tcW w:w="1440"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w:t>
            </w:r>
          </w:p>
        </w:tc>
        <w:tc>
          <w:tcPr>
            <w:tcW w:w="1625"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100.000</w:t>
            </w:r>
          </w:p>
        </w:tc>
      </w:tr>
      <w:tr w:rsidR="00957AD0" w:rsidRPr="002A0BEE" w:rsidTr="00957AD0">
        <w:tc>
          <w:tcPr>
            <w:tcW w:w="1190" w:type="dxa"/>
            <w:tcBorders>
              <w:left w:val="double" w:sz="4" w:space="0" w:color="auto"/>
            </w:tcBorders>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6</w:t>
            </w:r>
          </w:p>
        </w:tc>
        <w:tc>
          <w:tcPr>
            <w:tcW w:w="3240" w:type="dxa"/>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sjekačica</w:t>
            </w:r>
          </w:p>
        </w:tc>
        <w:tc>
          <w:tcPr>
            <w:tcW w:w="1440"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2</w:t>
            </w:r>
          </w:p>
        </w:tc>
        <w:tc>
          <w:tcPr>
            <w:tcW w:w="1625"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40</w:t>
            </w:r>
            <w:r w:rsidR="00D41E39" w:rsidRPr="002A0BEE">
              <w:rPr>
                <w:rFonts w:asciiTheme="majorHAnsi" w:hAnsiTheme="majorHAnsi" w:cstheme="minorHAnsi"/>
                <w:szCs w:val="24"/>
                <w:lang w:val="sr-Latn-CS"/>
              </w:rPr>
              <w:t>.</w:t>
            </w:r>
            <w:r w:rsidRPr="002A0BEE">
              <w:rPr>
                <w:rFonts w:asciiTheme="majorHAnsi" w:hAnsiTheme="majorHAnsi" w:cstheme="minorHAnsi"/>
                <w:szCs w:val="24"/>
                <w:lang w:val="sr-Latn-CS"/>
              </w:rPr>
              <w:t>000</w:t>
            </w:r>
          </w:p>
        </w:tc>
      </w:tr>
      <w:tr w:rsidR="00957AD0" w:rsidRPr="002A0BEE" w:rsidTr="00957AD0">
        <w:tc>
          <w:tcPr>
            <w:tcW w:w="1190" w:type="dxa"/>
            <w:tcBorders>
              <w:left w:val="double" w:sz="4" w:space="0" w:color="auto"/>
            </w:tcBorders>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5</w:t>
            </w:r>
          </w:p>
        </w:tc>
        <w:tc>
          <w:tcPr>
            <w:tcW w:w="3240" w:type="dxa"/>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Bager</w:t>
            </w:r>
          </w:p>
        </w:tc>
        <w:tc>
          <w:tcPr>
            <w:tcW w:w="1440"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w:t>
            </w:r>
          </w:p>
        </w:tc>
        <w:tc>
          <w:tcPr>
            <w:tcW w:w="1625"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120.000</w:t>
            </w:r>
          </w:p>
        </w:tc>
      </w:tr>
      <w:tr w:rsidR="00957AD0" w:rsidRPr="002A0BEE" w:rsidTr="00957AD0">
        <w:tc>
          <w:tcPr>
            <w:tcW w:w="1190" w:type="dxa"/>
            <w:tcBorders>
              <w:left w:val="double" w:sz="4" w:space="0" w:color="auto"/>
            </w:tcBorders>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6</w:t>
            </w:r>
          </w:p>
        </w:tc>
        <w:tc>
          <w:tcPr>
            <w:tcW w:w="3240" w:type="dxa"/>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Cistijerna za vodu</w:t>
            </w:r>
          </w:p>
        </w:tc>
        <w:tc>
          <w:tcPr>
            <w:tcW w:w="1440"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w:t>
            </w:r>
          </w:p>
        </w:tc>
        <w:tc>
          <w:tcPr>
            <w:tcW w:w="1625" w:type="dxa"/>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 xml:space="preserve"> 14.000</w:t>
            </w:r>
          </w:p>
        </w:tc>
      </w:tr>
      <w:tr w:rsidR="00957AD0" w:rsidRPr="002A0BEE" w:rsidTr="00957AD0">
        <w:tc>
          <w:tcPr>
            <w:tcW w:w="1190" w:type="dxa"/>
            <w:tcBorders>
              <w:left w:val="double" w:sz="4" w:space="0" w:color="auto"/>
              <w:bottom w:val="double" w:sz="4" w:space="0" w:color="auto"/>
            </w:tcBorders>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7</w:t>
            </w:r>
          </w:p>
        </w:tc>
        <w:tc>
          <w:tcPr>
            <w:tcW w:w="3240" w:type="dxa"/>
            <w:tcBorders>
              <w:bottom w:val="double" w:sz="4" w:space="0" w:color="auto"/>
            </w:tcBorders>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Postrojenje za preradu t-g kamena</w:t>
            </w:r>
          </w:p>
        </w:tc>
        <w:tc>
          <w:tcPr>
            <w:tcW w:w="1440" w:type="dxa"/>
            <w:tcBorders>
              <w:bottom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w:t>
            </w:r>
          </w:p>
        </w:tc>
        <w:tc>
          <w:tcPr>
            <w:tcW w:w="1625" w:type="dxa"/>
            <w:tcBorders>
              <w:bottom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 xml:space="preserve"> 500.000</w:t>
            </w:r>
          </w:p>
        </w:tc>
      </w:tr>
      <w:tr w:rsidR="00957AD0" w:rsidRPr="002A0BEE" w:rsidTr="00957AD0">
        <w:tblPrEx>
          <w:tblLook w:val="0000"/>
        </w:tblPrEx>
        <w:trPr>
          <w:trHeight w:val="420"/>
        </w:trPr>
        <w:tc>
          <w:tcPr>
            <w:tcW w:w="5870" w:type="dxa"/>
            <w:gridSpan w:val="3"/>
            <w:tcBorders>
              <w:top w:val="double" w:sz="4" w:space="0" w:color="auto"/>
              <w:left w:val="double" w:sz="4" w:space="0" w:color="auto"/>
              <w:bottom w:val="double" w:sz="4" w:space="0" w:color="auto"/>
            </w:tcBorders>
          </w:tcPr>
          <w:p w:rsidR="00957AD0" w:rsidRPr="002A0BEE" w:rsidRDefault="00957AD0" w:rsidP="002E447F">
            <w:pPr>
              <w:spacing w:after="0"/>
              <w:ind w:left="108"/>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Ukupno:</w:t>
            </w:r>
          </w:p>
        </w:tc>
        <w:tc>
          <w:tcPr>
            <w:tcW w:w="1625" w:type="dxa"/>
            <w:tcBorders>
              <w:top w:val="double" w:sz="4" w:space="0" w:color="auto"/>
              <w:bottom w:val="double" w:sz="4" w:space="0" w:color="auto"/>
            </w:tcBorders>
          </w:tcPr>
          <w:p w:rsidR="00957AD0" w:rsidRPr="002A0BEE" w:rsidRDefault="00957AD0" w:rsidP="002E447F">
            <w:pPr>
              <w:spacing w:after="0"/>
              <w:ind w:left="108"/>
              <w:jc w:val="both"/>
              <w:rPr>
                <w:rFonts w:asciiTheme="majorHAnsi" w:eastAsia="Times New Roman" w:hAnsiTheme="majorHAnsi" w:cstheme="minorHAnsi"/>
                <w:b/>
                <w:szCs w:val="24"/>
                <w:lang w:val="sr-Latn-CS"/>
              </w:rPr>
            </w:pPr>
            <w:r w:rsidRPr="002A0BEE">
              <w:rPr>
                <w:rFonts w:asciiTheme="majorHAnsi" w:eastAsia="Times New Roman" w:hAnsiTheme="majorHAnsi" w:cstheme="minorHAnsi"/>
                <w:b/>
                <w:szCs w:val="24"/>
                <w:lang w:val="sr-Latn-CS"/>
              </w:rPr>
              <w:t xml:space="preserve">    954.000</w:t>
            </w:r>
          </w:p>
        </w:tc>
      </w:tr>
    </w:tbl>
    <w:p w:rsidR="00957AD0" w:rsidRPr="002A0BEE" w:rsidRDefault="00957AD0" w:rsidP="00025495">
      <w:pPr>
        <w:pStyle w:val="Heading5"/>
        <w:numPr>
          <w:ilvl w:val="0"/>
          <w:numId w:val="0"/>
        </w:numPr>
        <w:spacing w:before="0" w:after="200"/>
        <w:rPr>
          <w:rFonts w:eastAsia="Times New Roman" w:cstheme="minorHAnsi"/>
          <w:szCs w:val="24"/>
          <w:lang w:val="sr-Latn-CS"/>
        </w:rPr>
      </w:pPr>
    </w:p>
    <w:p w:rsidR="00A50B2C" w:rsidRPr="002A0BEE" w:rsidRDefault="00A50B2C"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Ponuđač je obavezan da u Ponudi navede koja su planirana investiciona ulaganja za realizaciju koncesije (ulaganja u nabavku opreme i mehanizacije, u izgradnju infrastrukturnih objekata i u izradu projektne i ostale tehničke dokumentacije.</w:t>
      </w:r>
    </w:p>
    <w:p w:rsidR="00957AD0" w:rsidRPr="002A0BEE" w:rsidRDefault="00957AD0" w:rsidP="00025495">
      <w:pPr>
        <w:pStyle w:val="Heading5"/>
        <w:numPr>
          <w:ilvl w:val="0"/>
          <w:numId w:val="0"/>
        </w:numPr>
        <w:spacing w:before="0" w:after="200"/>
        <w:rPr>
          <w:rFonts w:eastAsia="Times New Roman" w:cstheme="minorHAnsi"/>
          <w:szCs w:val="24"/>
          <w:lang w:val="sr-Latn-CS"/>
        </w:rPr>
      </w:pPr>
      <w:r w:rsidRPr="002A0BEE">
        <w:rPr>
          <w:rFonts w:eastAsia="Times New Roman" w:cstheme="minorHAnsi"/>
          <w:szCs w:val="24"/>
          <w:lang w:val="sr-Latn-CS"/>
        </w:rPr>
        <w:t xml:space="preserve"> Infrastrukturni objekti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0"/>
        <w:gridCol w:w="3240"/>
        <w:gridCol w:w="1440"/>
        <w:gridCol w:w="1620"/>
      </w:tblGrid>
      <w:tr w:rsidR="00957AD0" w:rsidRPr="002A0BEE" w:rsidTr="00957AD0">
        <w:tc>
          <w:tcPr>
            <w:tcW w:w="1110" w:type="dxa"/>
            <w:tcBorders>
              <w:top w:val="double" w:sz="4" w:space="0" w:color="auto"/>
              <w:left w:val="double" w:sz="4" w:space="0" w:color="auto"/>
              <w:bottom w:val="double" w:sz="4" w:space="0" w:color="auto"/>
            </w:tcBorders>
            <w:shd w:val="clear" w:color="auto" w:fill="FFC000"/>
            <w:vAlign w:val="center"/>
          </w:tcPr>
          <w:p w:rsidR="00957AD0" w:rsidRPr="002A0BEE" w:rsidRDefault="00957AD0" w:rsidP="002E447F">
            <w:pPr>
              <w:rPr>
                <w:rFonts w:asciiTheme="majorHAnsi" w:hAnsiTheme="majorHAnsi" w:cstheme="minorHAnsi"/>
                <w:b/>
                <w:szCs w:val="24"/>
                <w:lang w:val="sr-Latn-CS"/>
              </w:rPr>
            </w:pPr>
            <w:r w:rsidRPr="002A0BEE">
              <w:rPr>
                <w:rFonts w:asciiTheme="majorHAnsi" w:hAnsiTheme="majorHAnsi" w:cstheme="minorHAnsi"/>
                <w:b/>
                <w:szCs w:val="24"/>
                <w:lang w:val="sr-Latn-CS"/>
              </w:rPr>
              <w:t>Red. Br.</w:t>
            </w:r>
          </w:p>
        </w:tc>
        <w:tc>
          <w:tcPr>
            <w:tcW w:w="3240" w:type="dxa"/>
            <w:tcBorders>
              <w:top w:val="double" w:sz="4" w:space="0" w:color="auto"/>
              <w:bottom w:val="double" w:sz="4" w:space="0" w:color="auto"/>
            </w:tcBorders>
            <w:shd w:val="clear" w:color="auto" w:fill="FFC000"/>
            <w:vAlign w:val="center"/>
          </w:tcPr>
          <w:p w:rsidR="00957AD0" w:rsidRPr="002A0BEE" w:rsidRDefault="00957AD0" w:rsidP="002E447F">
            <w:pPr>
              <w:rPr>
                <w:rFonts w:asciiTheme="majorHAnsi" w:hAnsiTheme="majorHAnsi" w:cstheme="minorHAnsi"/>
                <w:b/>
                <w:szCs w:val="24"/>
                <w:lang w:val="sr-Latn-CS"/>
              </w:rPr>
            </w:pPr>
            <w:r w:rsidRPr="002A0BEE">
              <w:rPr>
                <w:rFonts w:asciiTheme="majorHAnsi" w:hAnsiTheme="majorHAnsi" w:cstheme="minorHAnsi"/>
                <w:b/>
                <w:szCs w:val="24"/>
                <w:lang w:val="sr-Latn-CS"/>
              </w:rPr>
              <w:t>Naziv infrastrukt. objekata</w:t>
            </w:r>
          </w:p>
        </w:tc>
        <w:tc>
          <w:tcPr>
            <w:tcW w:w="1440" w:type="dxa"/>
            <w:tcBorders>
              <w:top w:val="double" w:sz="4" w:space="0" w:color="auto"/>
              <w:bottom w:val="double" w:sz="4" w:space="0" w:color="auto"/>
            </w:tcBorders>
            <w:shd w:val="clear" w:color="auto" w:fill="FFC000"/>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Količina</w:t>
            </w:r>
          </w:p>
        </w:tc>
        <w:tc>
          <w:tcPr>
            <w:tcW w:w="1620" w:type="dxa"/>
            <w:tcBorders>
              <w:top w:val="double" w:sz="4" w:space="0" w:color="auto"/>
              <w:bottom w:val="double" w:sz="4" w:space="0" w:color="auto"/>
              <w:right w:val="double" w:sz="4" w:space="0" w:color="auto"/>
            </w:tcBorders>
            <w:shd w:val="clear" w:color="auto" w:fill="FFC000"/>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Cijena (€)</w:t>
            </w:r>
          </w:p>
        </w:tc>
      </w:tr>
      <w:tr w:rsidR="00957AD0" w:rsidRPr="002A0BEE" w:rsidTr="00957AD0">
        <w:tc>
          <w:tcPr>
            <w:tcW w:w="1110" w:type="dxa"/>
            <w:tcBorders>
              <w:top w:val="double" w:sz="4" w:space="0" w:color="auto"/>
              <w:left w:val="double" w:sz="4" w:space="0" w:color="auto"/>
            </w:tcBorders>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1</w:t>
            </w:r>
          </w:p>
        </w:tc>
        <w:tc>
          <w:tcPr>
            <w:tcW w:w="3240" w:type="dxa"/>
            <w:tcBorders>
              <w:top w:val="double" w:sz="4" w:space="0" w:color="auto"/>
            </w:tcBorders>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Kontejner površine 40 m</w:t>
            </w:r>
            <w:r w:rsidRPr="002A0BEE">
              <w:rPr>
                <w:rFonts w:asciiTheme="majorHAnsi" w:hAnsiTheme="majorHAnsi" w:cstheme="minorHAnsi"/>
                <w:szCs w:val="24"/>
                <w:vertAlign w:val="superscript"/>
                <w:lang w:val="sr-Latn-CS"/>
              </w:rPr>
              <w:t>2</w:t>
            </w:r>
          </w:p>
        </w:tc>
        <w:tc>
          <w:tcPr>
            <w:tcW w:w="1440" w:type="dxa"/>
            <w:tcBorders>
              <w:top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2</w:t>
            </w:r>
          </w:p>
        </w:tc>
        <w:tc>
          <w:tcPr>
            <w:tcW w:w="1620" w:type="dxa"/>
            <w:tcBorders>
              <w:top w:val="double" w:sz="4" w:space="0" w:color="auto"/>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40.000</w:t>
            </w:r>
          </w:p>
        </w:tc>
      </w:tr>
      <w:tr w:rsidR="00957AD0" w:rsidRPr="002A0BEE" w:rsidTr="00957AD0">
        <w:tc>
          <w:tcPr>
            <w:tcW w:w="1110" w:type="dxa"/>
            <w:tcBorders>
              <w:left w:val="double" w:sz="4" w:space="0" w:color="auto"/>
              <w:bottom w:val="double" w:sz="4" w:space="0" w:color="auto"/>
            </w:tcBorders>
            <w:vAlign w:val="center"/>
          </w:tcPr>
          <w:p w:rsidR="00957AD0" w:rsidRPr="002A0BEE" w:rsidRDefault="00957AD0" w:rsidP="002E447F">
            <w:pPr>
              <w:jc w:val="center"/>
              <w:rPr>
                <w:rFonts w:asciiTheme="majorHAnsi" w:hAnsiTheme="majorHAnsi" w:cstheme="minorHAnsi"/>
                <w:b/>
                <w:szCs w:val="24"/>
                <w:lang w:val="sr-Latn-CS"/>
              </w:rPr>
            </w:pPr>
            <w:r w:rsidRPr="002A0BEE">
              <w:rPr>
                <w:rFonts w:asciiTheme="majorHAnsi" w:hAnsiTheme="majorHAnsi" w:cstheme="minorHAnsi"/>
                <w:b/>
                <w:szCs w:val="24"/>
                <w:lang w:val="sr-Latn-CS"/>
              </w:rPr>
              <w:t>2</w:t>
            </w:r>
          </w:p>
        </w:tc>
        <w:tc>
          <w:tcPr>
            <w:tcW w:w="3240" w:type="dxa"/>
            <w:tcBorders>
              <w:bottom w:val="double" w:sz="4" w:space="0" w:color="auto"/>
            </w:tcBorders>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szCs w:val="24"/>
                <w:lang w:val="sr-Latn-CS"/>
              </w:rPr>
              <w:t>Dalekovod, trafostanica i kablovski razvod</w:t>
            </w:r>
          </w:p>
        </w:tc>
        <w:tc>
          <w:tcPr>
            <w:tcW w:w="1440" w:type="dxa"/>
            <w:tcBorders>
              <w:bottom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1</w:t>
            </w:r>
          </w:p>
        </w:tc>
        <w:tc>
          <w:tcPr>
            <w:tcW w:w="1620" w:type="dxa"/>
            <w:tcBorders>
              <w:bottom w:val="double" w:sz="4" w:space="0" w:color="auto"/>
              <w:right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r w:rsidRPr="002A0BEE">
              <w:rPr>
                <w:rFonts w:asciiTheme="majorHAnsi" w:hAnsiTheme="majorHAnsi" w:cstheme="minorHAnsi"/>
                <w:szCs w:val="24"/>
                <w:lang w:val="sr-Latn-CS"/>
              </w:rPr>
              <w:t>50.000</w:t>
            </w:r>
          </w:p>
        </w:tc>
      </w:tr>
      <w:tr w:rsidR="00957AD0" w:rsidRPr="002A0BEE" w:rsidTr="00957AD0">
        <w:tc>
          <w:tcPr>
            <w:tcW w:w="4350" w:type="dxa"/>
            <w:gridSpan w:val="2"/>
            <w:tcBorders>
              <w:top w:val="double" w:sz="4" w:space="0" w:color="auto"/>
              <w:left w:val="double" w:sz="4" w:space="0" w:color="auto"/>
              <w:bottom w:val="double" w:sz="4" w:space="0" w:color="auto"/>
            </w:tcBorders>
            <w:vAlign w:val="center"/>
          </w:tcPr>
          <w:p w:rsidR="00957AD0" w:rsidRPr="002A0BEE" w:rsidRDefault="00957AD0" w:rsidP="002E447F">
            <w:pPr>
              <w:rPr>
                <w:rFonts w:asciiTheme="majorHAnsi" w:hAnsiTheme="majorHAnsi" w:cstheme="minorHAnsi"/>
                <w:szCs w:val="24"/>
                <w:lang w:val="sr-Latn-CS"/>
              </w:rPr>
            </w:pPr>
            <w:r w:rsidRPr="002A0BEE">
              <w:rPr>
                <w:rFonts w:asciiTheme="majorHAnsi" w:hAnsiTheme="majorHAnsi" w:cstheme="minorHAnsi"/>
                <w:b/>
                <w:szCs w:val="24"/>
                <w:lang w:val="sr-Latn-CS"/>
              </w:rPr>
              <w:t>Ukupno:</w:t>
            </w:r>
          </w:p>
        </w:tc>
        <w:tc>
          <w:tcPr>
            <w:tcW w:w="1440" w:type="dxa"/>
            <w:tcBorders>
              <w:top w:val="double" w:sz="4" w:space="0" w:color="auto"/>
              <w:bottom w:val="double" w:sz="4" w:space="0" w:color="auto"/>
            </w:tcBorders>
            <w:vAlign w:val="center"/>
          </w:tcPr>
          <w:p w:rsidR="00957AD0" w:rsidRPr="002A0BEE" w:rsidRDefault="00957AD0" w:rsidP="002E447F">
            <w:pPr>
              <w:jc w:val="center"/>
              <w:rPr>
                <w:rFonts w:asciiTheme="majorHAnsi" w:hAnsiTheme="majorHAnsi" w:cstheme="minorHAnsi"/>
                <w:szCs w:val="24"/>
                <w:lang w:val="sr-Latn-CS"/>
              </w:rPr>
            </w:pPr>
          </w:p>
        </w:tc>
        <w:tc>
          <w:tcPr>
            <w:tcW w:w="1620" w:type="dxa"/>
            <w:tcBorders>
              <w:top w:val="double" w:sz="4" w:space="0" w:color="auto"/>
              <w:bottom w:val="double" w:sz="4" w:space="0" w:color="auto"/>
              <w:right w:val="double" w:sz="4" w:space="0" w:color="auto"/>
            </w:tcBorders>
            <w:vAlign w:val="center"/>
          </w:tcPr>
          <w:p w:rsidR="00957AD0" w:rsidRPr="002A0BEE" w:rsidRDefault="00957AD0" w:rsidP="002E447F">
            <w:pPr>
              <w:rPr>
                <w:rFonts w:asciiTheme="majorHAnsi" w:hAnsiTheme="majorHAnsi" w:cstheme="minorHAnsi"/>
                <w:b/>
                <w:szCs w:val="24"/>
                <w:lang w:val="sr-Latn-CS"/>
              </w:rPr>
            </w:pPr>
            <w:r w:rsidRPr="002A0BEE">
              <w:rPr>
                <w:rFonts w:asciiTheme="majorHAnsi" w:hAnsiTheme="majorHAnsi" w:cstheme="minorHAnsi"/>
                <w:b/>
                <w:szCs w:val="24"/>
                <w:lang w:val="sr-Latn-CS"/>
              </w:rPr>
              <w:t xml:space="preserve">      90.000</w:t>
            </w:r>
          </w:p>
        </w:tc>
      </w:tr>
    </w:tbl>
    <w:p w:rsidR="00025495" w:rsidRPr="002A0BEE" w:rsidRDefault="00025495" w:rsidP="00025495">
      <w:pPr>
        <w:pStyle w:val="Heading5"/>
        <w:numPr>
          <w:ilvl w:val="0"/>
          <w:numId w:val="0"/>
        </w:numPr>
        <w:spacing w:before="0" w:after="200"/>
        <w:jc w:val="both"/>
        <w:rPr>
          <w:rFonts w:eastAsia="Times New Roman" w:cstheme="minorHAnsi"/>
          <w:szCs w:val="24"/>
          <w:lang w:val="sr-Latn-CS"/>
        </w:rPr>
      </w:pPr>
    </w:p>
    <w:p w:rsidR="00957AD0" w:rsidRPr="002A0BEE" w:rsidRDefault="00957AD0" w:rsidP="00025495">
      <w:pPr>
        <w:pStyle w:val="Heading5"/>
        <w:numPr>
          <w:ilvl w:val="0"/>
          <w:numId w:val="0"/>
        </w:numPr>
        <w:spacing w:before="0" w:after="200"/>
        <w:jc w:val="both"/>
        <w:rPr>
          <w:rFonts w:eastAsia="Times New Roman" w:cstheme="minorHAnsi"/>
          <w:szCs w:val="24"/>
          <w:lang w:val="sr-Latn-CS"/>
        </w:rPr>
      </w:pPr>
      <w:r w:rsidRPr="002A0BEE">
        <w:rPr>
          <w:rFonts w:eastAsia="Times New Roman" w:cstheme="minorHAnsi"/>
          <w:szCs w:val="24"/>
          <w:lang w:val="sr-Latn-CS"/>
        </w:rPr>
        <w:t>Izrada tehničke dokumentacije i pribavljanja potrebnih odobrenja i  saglasnosti (iskustveni podaci)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4756"/>
      </w:tblGrid>
      <w:tr w:rsidR="00957AD0" w:rsidRPr="002A0BEE" w:rsidTr="00957AD0">
        <w:tc>
          <w:tcPr>
            <w:tcW w:w="5030" w:type="dxa"/>
            <w:tcBorders>
              <w:top w:val="double" w:sz="4" w:space="0" w:color="auto"/>
              <w:left w:val="double" w:sz="4" w:space="0" w:color="auto"/>
              <w:bottom w:val="double" w:sz="4" w:space="0" w:color="auto"/>
              <w:right w:val="double" w:sz="4" w:space="0" w:color="auto"/>
            </w:tcBorders>
            <w:shd w:val="clear" w:color="auto" w:fill="FFC000"/>
          </w:tcPr>
          <w:p w:rsidR="00957AD0" w:rsidRPr="002A0BEE" w:rsidRDefault="00957AD0" w:rsidP="002E447F">
            <w:pPr>
              <w:spacing w:after="0"/>
              <w:rPr>
                <w:rFonts w:asciiTheme="majorHAnsi" w:eastAsia="Calibri" w:hAnsiTheme="majorHAnsi" w:cstheme="minorHAnsi"/>
                <w:b/>
                <w:szCs w:val="24"/>
                <w:lang w:val="sr-Latn-CS"/>
              </w:rPr>
            </w:pPr>
            <w:r w:rsidRPr="002A0BEE">
              <w:rPr>
                <w:rFonts w:asciiTheme="majorHAnsi" w:eastAsia="Calibri" w:hAnsiTheme="majorHAnsi" w:cstheme="minorHAnsi"/>
                <w:b/>
                <w:szCs w:val="24"/>
                <w:lang w:val="sr-Latn-CS"/>
              </w:rPr>
              <w:t xml:space="preserve">                        Dokumentacija i radovi</w:t>
            </w:r>
          </w:p>
        </w:tc>
        <w:tc>
          <w:tcPr>
            <w:tcW w:w="5031" w:type="dxa"/>
            <w:tcBorders>
              <w:top w:val="double" w:sz="4" w:space="0" w:color="auto"/>
              <w:left w:val="double" w:sz="4" w:space="0" w:color="auto"/>
              <w:bottom w:val="double" w:sz="4" w:space="0" w:color="auto"/>
              <w:right w:val="double" w:sz="4" w:space="0" w:color="auto"/>
            </w:tcBorders>
            <w:shd w:val="clear" w:color="auto" w:fill="FFC000"/>
          </w:tcPr>
          <w:p w:rsidR="00957AD0" w:rsidRPr="002A0BEE" w:rsidRDefault="00957AD0" w:rsidP="002E447F">
            <w:pPr>
              <w:spacing w:after="0"/>
              <w:rPr>
                <w:rFonts w:asciiTheme="majorHAnsi" w:eastAsia="Calibri" w:hAnsiTheme="majorHAnsi" w:cstheme="minorHAnsi"/>
                <w:b/>
                <w:szCs w:val="24"/>
                <w:lang w:val="sr-Latn-CS"/>
              </w:rPr>
            </w:pPr>
            <w:r w:rsidRPr="002A0BEE">
              <w:rPr>
                <w:rFonts w:asciiTheme="majorHAnsi" w:eastAsia="Calibri" w:hAnsiTheme="majorHAnsi" w:cstheme="minorHAnsi"/>
                <w:b/>
                <w:szCs w:val="24"/>
                <w:lang w:val="sr-Latn-CS"/>
              </w:rPr>
              <w:t xml:space="preserve">                                          Cijena (€)</w:t>
            </w:r>
          </w:p>
        </w:tc>
      </w:tr>
      <w:tr w:rsidR="00957AD0" w:rsidRPr="002A0BEE" w:rsidTr="00957AD0">
        <w:tc>
          <w:tcPr>
            <w:tcW w:w="5030" w:type="dxa"/>
            <w:tcBorders>
              <w:top w:val="double" w:sz="4" w:space="0" w:color="auto"/>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Izrada podloga-geodetski radovi</w:t>
            </w:r>
          </w:p>
        </w:tc>
        <w:tc>
          <w:tcPr>
            <w:tcW w:w="5031" w:type="dxa"/>
            <w:tcBorders>
              <w:top w:val="double" w:sz="4" w:space="0" w:color="auto"/>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 xml:space="preserve">                                       4.000</w:t>
            </w:r>
          </w:p>
        </w:tc>
      </w:tr>
      <w:tr w:rsidR="00957AD0" w:rsidRPr="002A0BEE" w:rsidTr="00957AD0">
        <w:tc>
          <w:tcPr>
            <w:tcW w:w="5030" w:type="dxa"/>
            <w:tcBorders>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Izrada geološke tehničke dokumentacije</w:t>
            </w:r>
          </w:p>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(revizije i odobrenja)</w:t>
            </w:r>
          </w:p>
        </w:tc>
        <w:tc>
          <w:tcPr>
            <w:tcW w:w="5031" w:type="dxa"/>
            <w:tcBorders>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 xml:space="preserve">                                     10.000</w:t>
            </w:r>
          </w:p>
        </w:tc>
      </w:tr>
      <w:tr w:rsidR="00957AD0" w:rsidRPr="002A0BEE" w:rsidTr="00957AD0">
        <w:tc>
          <w:tcPr>
            <w:tcW w:w="5030" w:type="dxa"/>
            <w:tcBorders>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Laboratorijska ispitivanja fizičko-mehan. karakter.</w:t>
            </w:r>
            <w:r w:rsidR="00D41E39"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sa analizom stabilnosti parametara kopa</w:t>
            </w:r>
          </w:p>
        </w:tc>
        <w:tc>
          <w:tcPr>
            <w:tcW w:w="5031" w:type="dxa"/>
            <w:tcBorders>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 xml:space="preserve">                                       3.000</w:t>
            </w:r>
          </w:p>
        </w:tc>
      </w:tr>
      <w:tr w:rsidR="00957AD0" w:rsidRPr="002A0BEE" w:rsidTr="00957AD0">
        <w:tc>
          <w:tcPr>
            <w:tcW w:w="5030" w:type="dxa"/>
            <w:tcBorders>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Izrada rudarske tehničke dokumentacije</w:t>
            </w:r>
          </w:p>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(revizije i odobrenja)</w:t>
            </w:r>
          </w:p>
        </w:tc>
        <w:tc>
          <w:tcPr>
            <w:tcW w:w="5031" w:type="dxa"/>
            <w:tcBorders>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 xml:space="preserve">                                      20.000</w:t>
            </w:r>
          </w:p>
        </w:tc>
      </w:tr>
      <w:tr w:rsidR="00957AD0" w:rsidRPr="002A0BEE" w:rsidTr="00957AD0">
        <w:tc>
          <w:tcPr>
            <w:tcW w:w="5030" w:type="dxa"/>
            <w:tcBorders>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Izrada Elaborata procjene uticaja na životnu sredinu sa revizijom</w:t>
            </w:r>
          </w:p>
        </w:tc>
        <w:tc>
          <w:tcPr>
            <w:tcW w:w="5031" w:type="dxa"/>
            <w:tcBorders>
              <w:left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 xml:space="preserve">                                        7.000</w:t>
            </w:r>
          </w:p>
        </w:tc>
      </w:tr>
      <w:tr w:rsidR="00957AD0" w:rsidRPr="002A0BEE" w:rsidTr="00957AD0">
        <w:tc>
          <w:tcPr>
            <w:tcW w:w="5030" w:type="dxa"/>
            <w:tcBorders>
              <w:left w:val="double" w:sz="4" w:space="0" w:color="auto"/>
              <w:bottom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Urbanističko-tehnički uslovi i ostale saglasnosti,</w:t>
            </w:r>
            <w:r w:rsidR="00D41E39" w:rsidRPr="002A0BEE">
              <w:rPr>
                <w:rFonts w:asciiTheme="majorHAnsi" w:eastAsia="Calibri" w:hAnsiTheme="majorHAnsi" w:cstheme="minorHAnsi"/>
                <w:szCs w:val="24"/>
                <w:lang w:val="sr-Latn-CS"/>
              </w:rPr>
              <w:t xml:space="preserve"> </w:t>
            </w:r>
            <w:r w:rsidRPr="002A0BEE">
              <w:rPr>
                <w:rFonts w:asciiTheme="majorHAnsi" w:eastAsia="Calibri" w:hAnsiTheme="majorHAnsi" w:cstheme="minorHAnsi"/>
                <w:szCs w:val="24"/>
                <w:lang w:val="sr-Latn-CS"/>
              </w:rPr>
              <w:t>odobrenja, atestiranja i sl.</w:t>
            </w:r>
          </w:p>
        </w:tc>
        <w:tc>
          <w:tcPr>
            <w:tcW w:w="5031" w:type="dxa"/>
            <w:tcBorders>
              <w:left w:val="double" w:sz="4" w:space="0" w:color="auto"/>
              <w:bottom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szCs w:val="24"/>
                <w:lang w:val="sr-Latn-CS"/>
              </w:rPr>
            </w:pPr>
            <w:r w:rsidRPr="002A0BEE">
              <w:rPr>
                <w:rFonts w:asciiTheme="majorHAnsi" w:eastAsia="Calibri" w:hAnsiTheme="majorHAnsi" w:cstheme="minorHAnsi"/>
                <w:szCs w:val="24"/>
                <w:lang w:val="sr-Latn-CS"/>
              </w:rPr>
              <w:t xml:space="preserve">                                        4.000</w:t>
            </w:r>
          </w:p>
        </w:tc>
      </w:tr>
      <w:tr w:rsidR="00957AD0" w:rsidRPr="002A0BEE" w:rsidTr="00957AD0">
        <w:tc>
          <w:tcPr>
            <w:tcW w:w="10061" w:type="dxa"/>
            <w:gridSpan w:val="2"/>
            <w:tcBorders>
              <w:top w:val="double" w:sz="4" w:space="0" w:color="auto"/>
              <w:left w:val="double" w:sz="4" w:space="0" w:color="auto"/>
              <w:bottom w:val="double" w:sz="4" w:space="0" w:color="auto"/>
              <w:right w:val="double" w:sz="4" w:space="0" w:color="auto"/>
            </w:tcBorders>
          </w:tcPr>
          <w:p w:rsidR="00957AD0" w:rsidRPr="002A0BEE" w:rsidRDefault="00957AD0" w:rsidP="002E447F">
            <w:pPr>
              <w:spacing w:after="0"/>
              <w:rPr>
                <w:rFonts w:asciiTheme="majorHAnsi" w:eastAsia="Calibri" w:hAnsiTheme="majorHAnsi" w:cstheme="minorHAnsi"/>
                <w:b/>
                <w:szCs w:val="24"/>
                <w:lang w:val="sr-Latn-CS"/>
              </w:rPr>
            </w:pPr>
            <w:r w:rsidRPr="002A0BEE">
              <w:rPr>
                <w:rFonts w:asciiTheme="majorHAnsi" w:eastAsia="Calibri" w:hAnsiTheme="majorHAnsi" w:cstheme="minorHAnsi"/>
                <w:b/>
                <w:szCs w:val="24"/>
                <w:lang w:val="sr-Latn-CS"/>
              </w:rPr>
              <w:t>UKUPNO                                                                                                               48.000</w:t>
            </w:r>
          </w:p>
        </w:tc>
      </w:tr>
    </w:tbl>
    <w:p w:rsidR="008D1EA1" w:rsidRPr="002A0BEE" w:rsidRDefault="008D1EA1" w:rsidP="00025495">
      <w:pPr>
        <w:jc w:val="both"/>
        <w:rPr>
          <w:rFonts w:asciiTheme="majorHAnsi" w:eastAsia="Times New Roman" w:hAnsiTheme="majorHAnsi" w:cstheme="minorHAnsi"/>
          <w:szCs w:val="24"/>
          <w:lang w:val="sr-Latn-CS"/>
        </w:rPr>
      </w:pPr>
    </w:p>
    <w:p w:rsidR="009248F4" w:rsidRPr="002A0BEE" w:rsidRDefault="009248F4" w:rsidP="0055031D">
      <w:pPr>
        <w:pStyle w:val="Heading1"/>
        <w:numPr>
          <w:ilvl w:val="0"/>
          <w:numId w:val="47"/>
        </w:numPr>
        <w:spacing w:before="0" w:after="200"/>
        <w:rPr>
          <w:rFonts w:asciiTheme="majorHAnsi" w:eastAsia="Times New Roman" w:hAnsiTheme="majorHAnsi" w:cstheme="minorHAnsi"/>
          <w:sz w:val="24"/>
          <w:szCs w:val="24"/>
          <w:lang w:val="sr-Latn-CS"/>
        </w:rPr>
      </w:pPr>
      <w:bookmarkStart w:id="62" w:name="_Toc390549896"/>
      <w:bookmarkStart w:id="63" w:name="_Toc401959422"/>
      <w:bookmarkStart w:id="64" w:name="_Toc401959515"/>
      <w:bookmarkStart w:id="65" w:name="_Toc435529010"/>
      <w:bookmarkStart w:id="66" w:name="_Toc436124879"/>
      <w:r w:rsidRPr="002A0BEE">
        <w:rPr>
          <w:rFonts w:asciiTheme="majorHAnsi" w:eastAsia="Times New Roman" w:hAnsiTheme="majorHAnsi" w:cstheme="minorHAnsi"/>
          <w:sz w:val="24"/>
          <w:szCs w:val="24"/>
          <w:lang w:val="sr-Latn-CS"/>
        </w:rPr>
        <w:t>Mjere za zaštitu životne sredine</w:t>
      </w:r>
      <w:bookmarkEnd w:id="62"/>
      <w:bookmarkEnd w:id="63"/>
      <w:bookmarkEnd w:id="64"/>
      <w:bookmarkEnd w:id="65"/>
      <w:bookmarkEnd w:id="66"/>
    </w:p>
    <w:p w:rsidR="009248F4" w:rsidRPr="002A0BEE" w:rsidRDefault="009248F4"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Detaljna geološka istraživanja u manjoj mjeri mogu imati uticaj na životnu sredinu, dok eksploatacija i obrada mineralne sirovine, a time i arhitektonsko-građevinskog (ukrasnog) kamena je proces koji se, sa aspekta ekologije, smatra rizičnim.</w:t>
      </w:r>
    </w:p>
    <w:p w:rsidR="009248F4" w:rsidRPr="002A0BEE" w:rsidRDefault="009248F4"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U zakonskim propisima koji regulušu zaštitu životne sredine naglašeni su osnovni principi njene zaštite i to prirodnih vrijednosti zemljišta, vode i vazduha, kao i biodiverziteta (biljni i životinjski svijet).</w:t>
      </w:r>
    </w:p>
    <w:p w:rsidR="009248F4" w:rsidRPr="002A0BEE" w:rsidRDefault="009248F4"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Shodno naprijed navedenom, Koncesi</w:t>
      </w:r>
      <w:r w:rsidR="00C6529F" w:rsidRPr="002A0BEE">
        <w:rPr>
          <w:rFonts w:asciiTheme="majorHAnsi" w:eastAsia="Times New Roman" w:hAnsiTheme="majorHAnsi" w:cstheme="minorHAnsi"/>
          <w:szCs w:val="24"/>
          <w:lang w:val="sr-Latn-CS"/>
        </w:rPr>
        <w:t>o</w:t>
      </w:r>
      <w:r w:rsidRPr="002A0BEE">
        <w:rPr>
          <w:rFonts w:asciiTheme="majorHAnsi" w:eastAsia="Times New Roman" w:hAnsiTheme="majorHAnsi" w:cstheme="minorHAnsi"/>
          <w:szCs w:val="24"/>
          <w:lang w:val="sr-Latn-CS"/>
        </w:rPr>
        <w:t>nar je dužan da na istražno</w:t>
      </w:r>
      <w:r w:rsidR="00C74F69" w:rsidRPr="002A0BEE">
        <w:rPr>
          <w:rFonts w:asciiTheme="majorHAnsi" w:eastAsia="Times New Roman" w:hAnsiTheme="majorHAnsi" w:cstheme="minorHAnsi"/>
          <w:szCs w:val="24"/>
          <w:lang w:val="sr-Latn-CS"/>
        </w:rPr>
        <w:t>-eksploatacionom prostoru „Visočica</w:t>
      </w:r>
      <w:r w:rsidRPr="002A0BEE">
        <w:rPr>
          <w:rFonts w:asciiTheme="majorHAnsi" w:eastAsia="Times New Roman" w:hAnsiTheme="majorHAnsi" w:cstheme="minorHAnsi"/>
          <w:szCs w:val="24"/>
          <w:lang w:val="sr-Latn-CS"/>
        </w:rPr>
        <w:t>“, pri planiranju i sprovođenju investicionog zahvata, sprovode postupak prethodne procjene uticaja na životnu sredinu, u sladu sa zakonom.</w:t>
      </w:r>
    </w:p>
    <w:p w:rsidR="009248F4" w:rsidRPr="002A0BEE" w:rsidRDefault="009248F4"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9248F4" w:rsidRPr="002A0BEE" w:rsidRDefault="009248F4"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lastRenderedPageBreak/>
        <w:t>Nadležni državni organ procjenjuje potrebu izrade Elaborata o procjeni uticaja zahvata na životnu sredinu, koji se radi u skladu sa Zakonom o procjeni uticaja zahvata na životnu sredinu („Sl. list RCG“, br. 80/05 i „Sl. list CG“, br. 40/10, 73/10, 40/11 i 27/13).</w:t>
      </w:r>
    </w:p>
    <w:p w:rsidR="00C74F69" w:rsidRPr="002A0BEE" w:rsidRDefault="009248F4" w:rsidP="00025495">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S obzirom na značaj očuvanja životne sredine, Koncesionar je dužan da se pridržava svih mjera zaštite u skladu sa zakonskim propisima.</w:t>
      </w:r>
    </w:p>
    <w:p w:rsidR="00025495" w:rsidRPr="002A0BEE" w:rsidRDefault="00025495" w:rsidP="00025495">
      <w:pPr>
        <w:jc w:val="both"/>
        <w:rPr>
          <w:rFonts w:asciiTheme="majorHAnsi" w:eastAsia="Times New Roman" w:hAnsiTheme="majorHAnsi" w:cstheme="minorHAnsi"/>
          <w:szCs w:val="24"/>
          <w:lang w:val="sr-Latn-CS"/>
        </w:rPr>
      </w:pPr>
    </w:p>
    <w:p w:rsidR="009248F4" w:rsidRPr="002A0BEE" w:rsidRDefault="009248F4" w:rsidP="0055031D">
      <w:pPr>
        <w:pStyle w:val="Heading1"/>
        <w:numPr>
          <w:ilvl w:val="0"/>
          <w:numId w:val="47"/>
        </w:numPr>
        <w:spacing w:before="0" w:after="200"/>
        <w:rPr>
          <w:rFonts w:asciiTheme="majorHAnsi" w:hAnsiTheme="majorHAnsi" w:cstheme="minorHAnsi"/>
          <w:sz w:val="24"/>
          <w:szCs w:val="24"/>
          <w:lang w:val="sr-Latn-CS"/>
        </w:rPr>
      </w:pPr>
      <w:bookmarkStart w:id="67" w:name="_Toc435529011"/>
      <w:bookmarkStart w:id="68" w:name="_Toc390549903"/>
      <w:bookmarkStart w:id="69" w:name="_Toc401959429"/>
      <w:bookmarkStart w:id="70" w:name="_Toc401959522"/>
      <w:bookmarkStart w:id="71" w:name="_Toc436124880"/>
      <w:r w:rsidRPr="002A0BEE">
        <w:rPr>
          <w:rFonts w:asciiTheme="majorHAnsi" w:hAnsiTheme="majorHAnsi" w:cstheme="minorHAnsi"/>
          <w:sz w:val="24"/>
          <w:szCs w:val="24"/>
          <w:lang w:val="sr-Latn-CS"/>
        </w:rPr>
        <w:t>Rekultivacija istražno</w:t>
      </w:r>
      <w:r w:rsidR="00C74F69" w:rsidRPr="002A0BEE">
        <w:rPr>
          <w:rFonts w:asciiTheme="majorHAnsi" w:hAnsiTheme="majorHAnsi" w:cstheme="minorHAnsi"/>
          <w:sz w:val="24"/>
          <w:szCs w:val="24"/>
          <w:lang w:val="sr-Latn-CS"/>
        </w:rPr>
        <w:t>-eksploatacionog prostora “Visočica</w:t>
      </w:r>
      <w:r w:rsidRPr="002A0BEE">
        <w:rPr>
          <w:rFonts w:asciiTheme="majorHAnsi" w:hAnsiTheme="majorHAnsi" w:cstheme="minorHAnsi"/>
          <w:sz w:val="24"/>
          <w:szCs w:val="24"/>
          <w:lang w:val="sr-Latn-CS"/>
        </w:rPr>
        <w:t>”</w:t>
      </w:r>
      <w:bookmarkEnd w:id="67"/>
      <w:bookmarkEnd w:id="71"/>
      <w:r w:rsidRPr="002A0BEE">
        <w:rPr>
          <w:rFonts w:asciiTheme="majorHAnsi" w:hAnsiTheme="majorHAnsi" w:cstheme="minorHAnsi"/>
          <w:sz w:val="24"/>
          <w:szCs w:val="24"/>
          <w:lang w:val="sr-Latn-CS"/>
        </w:rPr>
        <w:t xml:space="preserve"> </w:t>
      </w:r>
      <w:bookmarkEnd w:id="68"/>
      <w:bookmarkEnd w:id="69"/>
      <w:bookmarkEnd w:id="70"/>
    </w:p>
    <w:p w:rsidR="007519C5"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Kao rezultat izvođenja rudarskih radova na istražno-eksploatacionom prostoru javlja se drastična promjena izgleda terena. Novi zakonski uslovi za eksploataciju mineralnih sirovina zahtijevaju da se, nakon završene eksploatacije, izvrši rekultivacija prostora koji će biti degradiran obavljanjem koncesione djelatnosti, a sve to u cilju poboljšanja ekoloških uslova na samom lokalitetu i neposrednoj okolini.</w:t>
      </w:r>
    </w:p>
    <w:p w:rsidR="00025495"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Ako bi se degradirane površine ostavile, nakon izvođenja radova na eksploataciji, u istom stanju, mogu se očekivati neki od sljedećih negativnih uticaja:</w:t>
      </w:r>
    </w:p>
    <w:p w:rsidR="009248F4" w:rsidRPr="002A0BEE" w:rsidRDefault="009248F4" w:rsidP="002E447F">
      <w:pPr>
        <w:pStyle w:val="ListParagraph"/>
        <w:numPr>
          <w:ilvl w:val="0"/>
          <w:numId w:val="13"/>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produžavanje nepovoljnog uticaja pejzažnog izgleda terena,</w:t>
      </w:r>
    </w:p>
    <w:p w:rsidR="009248F4" w:rsidRPr="002A0BEE" w:rsidRDefault="009248F4" w:rsidP="002E447F">
      <w:pPr>
        <w:pStyle w:val="ListParagraph"/>
        <w:numPr>
          <w:ilvl w:val="0"/>
          <w:numId w:val="13"/>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pogoršavanje stanja degradiranih površina zbog pojave erozije, klizišta i sl.,</w:t>
      </w:r>
    </w:p>
    <w:p w:rsidR="007519C5" w:rsidRPr="002A0BEE" w:rsidRDefault="009248F4" w:rsidP="00025495">
      <w:pPr>
        <w:pStyle w:val="ListParagraph"/>
        <w:numPr>
          <w:ilvl w:val="0"/>
          <w:numId w:val="13"/>
        </w:numPr>
        <w:contextualSpacing w:val="0"/>
        <w:jc w:val="both"/>
        <w:rPr>
          <w:rFonts w:asciiTheme="majorHAnsi" w:hAnsiTheme="majorHAnsi" w:cstheme="minorHAnsi"/>
          <w:szCs w:val="24"/>
          <w:lang w:val="sr-Latn-CS"/>
        </w:rPr>
      </w:pPr>
      <w:r w:rsidRPr="002A0BEE">
        <w:rPr>
          <w:rFonts w:asciiTheme="majorHAnsi" w:hAnsiTheme="majorHAnsi" w:cstheme="minorHAnsi"/>
          <w:szCs w:val="24"/>
          <w:lang w:val="sr-Latn-CS"/>
        </w:rPr>
        <w:t>produžavanje negativnih uticaja na vazduh i okolno zemljište (podizanje prašine izazvane vjetrom, odnošenje materijala površinskim – atmosferskim vodama).</w:t>
      </w:r>
    </w:p>
    <w:p w:rsidR="007519C5"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Osnovni cilj rekultivacije je da se prostoru, na kojem će biti vršena eksploatacija, da prirodna vrijednost slična ili bolja od prvobitne, što je, prema procijenjenim sadašnjim uslovima na ovom lokalitetu, sasvim moguće. </w:t>
      </w:r>
    </w:p>
    <w:p w:rsidR="007519C5"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Treba istaći, prije svega, da na površinskim kopovima, u mnogim industrijalizovanim zemljama, obnavljanje okoline nije više stvar izbora rudnika. Zakoni u vezi s tim su postali mnogo strožiji, a provjere češće, tako da je za kompanije, koje se bave eksploatacijom, obavezno da rekultivišu prostor na kome je završena eksploatacija mineralne sirovine. Svakako, i 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rsidR="007519C5"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Dakle, problem rekultivacije više nije problem kao ranije, jer je sasvim normalno da u jednom procesu narušavanja geoekološkog ambijenta, postoji faza “obnove” prostora u kojem je egzistirao rudnik.</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lastRenderedPageBreak/>
        <w:t>Zbog velike važnosti ove faze rada, zakonskim propisima utvrđena je obaveza izrade projektnih rješenja rekultivacije, izradom Glavnog rudarskog projekta (Pravilnik o sadržaju rudarskih projekata) ili izradom posebnog tehničkog projekta rekultivacije, koji je sastavni dio Glavnog rudarskog projekta.</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Projektima se daju rješenja rudarsko-tehničke i biološke rekultivacije površina degradiranih izvođenjem rudarskih radova, uz uvažavanje uslova koji su utvrđeni Elaboratom o procjeni uticaja na životnu sredinu, vodnih uslova i sl.</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Projekat se mora realizovati u fazama, odnosno radovi na rekultivaciji izvoditi sukcesivno, paralelno sa razvojem kopa. To znači da je sa radovima na rekultivaciji potrebno početi odmah po završetku svake etaže.</w:t>
      </w:r>
    </w:p>
    <w:p w:rsidR="00050A6D" w:rsidRPr="00574D84" w:rsidRDefault="009248F4" w:rsidP="0055031D">
      <w:pPr>
        <w:pStyle w:val="Heading2"/>
        <w:numPr>
          <w:ilvl w:val="1"/>
          <w:numId w:val="47"/>
        </w:numPr>
        <w:spacing w:before="0" w:after="200"/>
        <w:rPr>
          <w:rFonts w:cstheme="minorHAnsi"/>
          <w:szCs w:val="24"/>
          <w:lang w:val="sr-Latn-CS"/>
        </w:rPr>
      </w:pPr>
      <w:bookmarkStart w:id="72" w:name="_Toc390549904"/>
      <w:bookmarkStart w:id="73" w:name="_Toc401959430"/>
      <w:bookmarkStart w:id="74" w:name="_Toc401959523"/>
      <w:bookmarkStart w:id="75" w:name="_Toc435529012"/>
      <w:bookmarkStart w:id="76" w:name="_Toc436124881"/>
      <w:r w:rsidRPr="002A0BEE">
        <w:rPr>
          <w:rFonts w:cstheme="minorHAnsi"/>
          <w:szCs w:val="24"/>
          <w:lang w:val="sr-Latn-CS"/>
        </w:rPr>
        <w:t>Zaključak</w:t>
      </w:r>
      <w:bookmarkEnd w:id="72"/>
      <w:bookmarkEnd w:id="73"/>
      <w:bookmarkEnd w:id="74"/>
      <w:bookmarkEnd w:id="75"/>
      <w:bookmarkEnd w:id="76"/>
      <w:r w:rsidRPr="002A0BEE">
        <w:rPr>
          <w:rFonts w:cstheme="minorHAnsi"/>
          <w:szCs w:val="24"/>
          <w:lang w:val="sr-Latn-CS"/>
        </w:rPr>
        <w:t xml:space="preserve"> </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da preduzme mjere zaštite voda u skladu sa zakonom.</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O naprijed navedenim mjerama izvještavaju se Ministarstvo ekonomije i ministarstva nadležna za poslove poljoprivrede, vodoprivrede, zaštite životne sredine i nadležni organ lokalne uprave.</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Ukoliko Koncesionar u skladu sa članom 71 Zakona o rudarstvu ne izvrši sanaciju i rekultivaciju prostora, istu će o njegovom trošku sprovesti Koncedent.</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Koncesionar je dužan da u skladu sa navedenom Uredbom redovno dostavlja Ministarstvu obnovljivu bankarsku garacniju, naplativu na prvi poziv, bez prava prigovora, kao sredstvo </w:t>
      </w:r>
      <w:r w:rsidRPr="002A0BEE">
        <w:rPr>
          <w:rFonts w:asciiTheme="majorHAnsi" w:hAnsiTheme="majorHAnsi" w:cstheme="minorHAnsi"/>
          <w:szCs w:val="24"/>
          <w:lang w:val="sr-Latn-CS"/>
        </w:rPr>
        <w:lastRenderedPageBreak/>
        <w:t>obezbjeđenja izvršenja obaveza rekultivacije i sanacije. Visina novčanog iznosa bankarske garacnije određuje se rješenjem Ministarstva, u skladu sa Uredbom.</w:t>
      </w:r>
    </w:p>
    <w:p w:rsidR="006D21B7" w:rsidRPr="002A0BEE" w:rsidRDefault="009248F4" w:rsidP="0055031D">
      <w:pPr>
        <w:pStyle w:val="Heading1"/>
        <w:numPr>
          <w:ilvl w:val="0"/>
          <w:numId w:val="47"/>
        </w:numPr>
        <w:spacing w:before="0" w:after="200"/>
        <w:rPr>
          <w:rFonts w:asciiTheme="majorHAnsi" w:hAnsiTheme="majorHAnsi" w:cstheme="minorHAnsi"/>
          <w:sz w:val="24"/>
          <w:szCs w:val="24"/>
          <w:lang w:val="sr-Latn-CS"/>
        </w:rPr>
      </w:pPr>
      <w:bookmarkStart w:id="77" w:name="_Toc390549905"/>
      <w:bookmarkStart w:id="78" w:name="_Toc401959431"/>
      <w:bookmarkStart w:id="79" w:name="_Toc401959524"/>
      <w:bookmarkStart w:id="80" w:name="_Toc435529013"/>
      <w:bookmarkStart w:id="81" w:name="_Toc436124882"/>
      <w:r w:rsidRPr="002A0BEE">
        <w:rPr>
          <w:rFonts w:asciiTheme="majorHAnsi" w:hAnsiTheme="majorHAnsi" w:cstheme="minorHAnsi"/>
          <w:sz w:val="24"/>
          <w:szCs w:val="24"/>
          <w:lang w:val="sr-Latn-CS"/>
        </w:rPr>
        <w:t>Unaprjeđenje energetske efikasnosti</w:t>
      </w:r>
      <w:bookmarkEnd w:id="77"/>
      <w:bookmarkEnd w:id="78"/>
      <w:bookmarkEnd w:id="79"/>
      <w:bookmarkEnd w:id="80"/>
      <w:bookmarkEnd w:id="81"/>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Radi efikasnog korišćenja energije, u skladu sa odredbama Zakona o energetskoj efikasnosti </w:t>
      </w:r>
      <w:r w:rsidR="0094402C"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(“Sl. list CG”, br. 29/10 i 40/11), Koncesionar je dužan da preduzima mjere za poboljšanje</w:t>
      </w:r>
      <w:r w:rsidR="00A81CFF"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energetske efikasnosti.</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Koncesonar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Sprovođenje mjera energetske efikasnosti utiče na kvalitet radne i životne sredine.</w:t>
      </w:r>
    </w:p>
    <w:p w:rsidR="003C2C76" w:rsidRPr="002A0BEE" w:rsidRDefault="003C2C76" w:rsidP="00025495">
      <w:pPr>
        <w:jc w:val="both"/>
        <w:rPr>
          <w:rFonts w:asciiTheme="majorHAnsi" w:hAnsiTheme="majorHAnsi" w:cstheme="minorHAnsi"/>
          <w:szCs w:val="24"/>
          <w:lang w:val="sr-Latn-CS"/>
        </w:rPr>
      </w:pPr>
    </w:p>
    <w:p w:rsidR="009248F4" w:rsidRPr="002A0BEE" w:rsidRDefault="009248F4" w:rsidP="0055031D">
      <w:pPr>
        <w:pStyle w:val="Heading1"/>
        <w:numPr>
          <w:ilvl w:val="0"/>
          <w:numId w:val="47"/>
        </w:numPr>
        <w:spacing w:before="0" w:after="200"/>
        <w:jc w:val="both"/>
        <w:rPr>
          <w:rFonts w:asciiTheme="majorHAnsi" w:hAnsiTheme="majorHAnsi" w:cstheme="minorHAnsi"/>
          <w:sz w:val="24"/>
          <w:szCs w:val="24"/>
          <w:lang w:val="sr-Latn-CS"/>
        </w:rPr>
      </w:pPr>
      <w:bookmarkStart w:id="82" w:name="_Toc390549906"/>
      <w:bookmarkStart w:id="83" w:name="_Toc401959432"/>
      <w:bookmarkStart w:id="84" w:name="_Toc401959525"/>
      <w:bookmarkStart w:id="85" w:name="_Toc435529014"/>
      <w:bookmarkStart w:id="86" w:name="_Toc436124883"/>
      <w:r w:rsidRPr="002A0BEE">
        <w:rPr>
          <w:rFonts w:asciiTheme="majorHAnsi" w:hAnsiTheme="majorHAnsi" w:cstheme="minorHAnsi"/>
          <w:sz w:val="24"/>
          <w:szCs w:val="24"/>
          <w:lang w:val="sr-Latn-CS"/>
        </w:rPr>
        <w:t>Uslovi koje je dužan da ispunjava koncesionar u pogledu tehničke opremljenosti, finansijske sposobnosti i ostale reference i dokaze o ispunjavanju tih uslova</w:t>
      </w:r>
      <w:bookmarkEnd w:id="82"/>
      <w:bookmarkEnd w:id="83"/>
      <w:bookmarkEnd w:id="84"/>
      <w:bookmarkEnd w:id="85"/>
      <w:bookmarkEnd w:id="86"/>
    </w:p>
    <w:p w:rsidR="009248F4" w:rsidRPr="002A0BEE" w:rsidRDefault="009248F4" w:rsidP="00025495">
      <w:pPr>
        <w:jc w:val="both"/>
        <w:rPr>
          <w:rFonts w:asciiTheme="majorHAnsi" w:hAnsiTheme="majorHAnsi" w:cstheme="minorHAnsi"/>
          <w:color w:val="000000"/>
          <w:szCs w:val="24"/>
          <w:lang w:val="sr-Latn-CS"/>
        </w:rPr>
      </w:pPr>
      <w:r w:rsidRPr="002A0BEE">
        <w:rPr>
          <w:rFonts w:asciiTheme="majorHAnsi" w:hAnsiTheme="majorHAnsi" w:cstheme="minorHAnsi"/>
          <w:color w:val="000000"/>
          <w:szCs w:val="24"/>
          <w:lang w:val="sr-Latn-CS"/>
        </w:rPr>
        <w:t>Obaveze Koncesionara u pogledu ispunjavanja uslova definisanih u ovom poglavlju su sljedeće:</w:t>
      </w:r>
    </w:p>
    <w:p w:rsidR="009248F4" w:rsidRPr="002A0BEE" w:rsidRDefault="009248F4" w:rsidP="00025495">
      <w:pPr>
        <w:pStyle w:val="ListParagraph"/>
        <w:numPr>
          <w:ilvl w:val="0"/>
          <w:numId w:val="11"/>
        </w:numPr>
        <w:contextualSpacing w:val="0"/>
        <w:jc w:val="both"/>
        <w:rPr>
          <w:rFonts w:asciiTheme="majorHAnsi" w:hAnsiTheme="majorHAnsi" w:cstheme="minorHAnsi"/>
          <w:color w:val="000000"/>
          <w:szCs w:val="24"/>
          <w:lang w:val="sr-Latn-CS"/>
        </w:rPr>
      </w:pPr>
      <w:r w:rsidRPr="002A0BEE">
        <w:rPr>
          <w:rFonts w:asciiTheme="majorHAnsi" w:hAnsiTheme="majorHAnsi" w:cstheme="minorHAnsi"/>
          <w:color w:val="000000"/>
          <w:szCs w:val="24"/>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9248F4" w:rsidRPr="002A0BEE" w:rsidRDefault="009248F4" w:rsidP="00025495">
      <w:pPr>
        <w:pStyle w:val="ListParagraph"/>
        <w:numPr>
          <w:ilvl w:val="0"/>
          <w:numId w:val="11"/>
        </w:numPr>
        <w:contextualSpacing w:val="0"/>
        <w:jc w:val="both"/>
        <w:rPr>
          <w:rFonts w:asciiTheme="majorHAnsi" w:hAnsiTheme="majorHAnsi" w:cstheme="minorHAnsi"/>
          <w:color w:val="000000"/>
          <w:szCs w:val="24"/>
          <w:lang w:val="sr-Latn-CS"/>
        </w:rPr>
      </w:pPr>
      <w:r w:rsidRPr="002A0BEE">
        <w:rPr>
          <w:rFonts w:asciiTheme="majorHAnsi" w:hAnsiTheme="majorHAnsi" w:cstheme="minorHAnsi"/>
          <w:b/>
          <w:color w:val="000000"/>
          <w:szCs w:val="24"/>
          <w:lang w:val="sr-Latn-CS"/>
        </w:rPr>
        <w:t xml:space="preserve"> </w:t>
      </w:r>
      <w:r w:rsidRPr="002A0BEE">
        <w:rPr>
          <w:rFonts w:asciiTheme="majorHAnsi" w:hAnsiTheme="majorHAnsi" w:cstheme="minorHAnsi"/>
          <w:color w:val="000000"/>
          <w:szCs w:val="24"/>
          <w:lang w:val="sr-Latn-CS"/>
        </w:rPr>
        <w:t>Da obezbijedi svu potrebnu geološku i rudarsku dokumentaciju, odobrenja i saglasnosti potrebnih za zakonito izvođenje radova (obrađeno u poglavlju 11).</w:t>
      </w:r>
    </w:p>
    <w:p w:rsidR="009248F4" w:rsidRPr="002A0BEE" w:rsidRDefault="009248F4" w:rsidP="00025495">
      <w:pPr>
        <w:pStyle w:val="ListParagraph"/>
        <w:numPr>
          <w:ilvl w:val="0"/>
          <w:numId w:val="11"/>
        </w:numPr>
        <w:contextualSpacing w:val="0"/>
        <w:jc w:val="both"/>
        <w:rPr>
          <w:rFonts w:asciiTheme="majorHAnsi" w:hAnsiTheme="majorHAnsi" w:cstheme="minorHAnsi"/>
          <w:color w:val="000000"/>
          <w:szCs w:val="24"/>
          <w:lang w:val="sr-Latn-CS"/>
        </w:rPr>
      </w:pPr>
      <w:r w:rsidRPr="002A0BEE">
        <w:rPr>
          <w:rFonts w:asciiTheme="majorHAnsi" w:hAnsiTheme="majorHAnsi" w:cstheme="minorHAnsi"/>
          <w:b/>
          <w:color w:val="000000"/>
          <w:szCs w:val="24"/>
          <w:lang w:val="sr-Latn-CS"/>
        </w:rPr>
        <w:t xml:space="preserve"> </w:t>
      </w:r>
      <w:r w:rsidRPr="002A0BEE">
        <w:rPr>
          <w:rFonts w:asciiTheme="majorHAnsi" w:hAnsiTheme="majorHAnsi" w:cstheme="minorHAnsi"/>
          <w:color w:val="000000"/>
          <w:szCs w:val="24"/>
          <w:lang w:val="sr-Latn-CS"/>
        </w:rPr>
        <w:t>Da obezbijedi opremu i mehanizaciju saglasno verifikovanoj rudarskoj i tehničkoj dokumentaciji.</w:t>
      </w:r>
      <w:r w:rsidR="00A81CFF" w:rsidRPr="002A0BEE">
        <w:rPr>
          <w:rFonts w:asciiTheme="majorHAnsi" w:hAnsiTheme="majorHAnsi" w:cstheme="minorHAnsi"/>
          <w:color w:val="000000"/>
          <w:szCs w:val="24"/>
          <w:lang w:val="sr-Latn-CS"/>
        </w:rPr>
        <w:t xml:space="preserve"> </w:t>
      </w:r>
      <w:r w:rsidRPr="002A0BEE">
        <w:rPr>
          <w:rFonts w:asciiTheme="majorHAnsi" w:hAnsiTheme="majorHAnsi" w:cstheme="minorHAnsi"/>
          <w:color w:val="000000"/>
          <w:szCs w:val="24"/>
          <w:lang w:val="sr-Latn-CS"/>
        </w:rPr>
        <w:t>Oprema i mehanizacija treba da ispunjava uslove propisane pravilnicima o tehičkim normativima za izvođenje planirane vrste radova na predmetnom lokalitetu.</w:t>
      </w:r>
    </w:p>
    <w:p w:rsidR="009248F4" w:rsidRPr="002A0BEE" w:rsidRDefault="009248F4" w:rsidP="00025495">
      <w:pPr>
        <w:pStyle w:val="ListParagraph"/>
        <w:numPr>
          <w:ilvl w:val="0"/>
          <w:numId w:val="11"/>
        </w:numPr>
        <w:contextualSpacing w:val="0"/>
        <w:jc w:val="both"/>
        <w:rPr>
          <w:rFonts w:asciiTheme="majorHAnsi" w:hAnsiTheme="majorHAnsi" w:cstheme="minorHAnsi"/>
          <w:color w:val="000000"/>
          <w:szCs w:val="24"/>
          <w:lang w:val="sr-Latn-CS"/>
        </w:rPr>
      </w:pPr>
      <w:r w:rsidRPr="002A0BEE">
        <w:rPr>
          <w:rFonts w:asciiTheme="majorHAnsi" w:hAnsiTheme="majorHAnsi" w:cstheme="minorHAnsi"/>
          <w:color w:val="000000"/>
          <w:szCs w:val="24"/>
          <w:lang w:val="sr-Latn-CS"/>
        </w:rPr>
        <w:t>Da obezbijedi radnu snagu saglasno ovom Koncesionom aktu i rudarskoj i tehničkoj dokumentaciji. Zaposleni moraju da ispunjavaju uslove (u pogledu stepena stručne spreme, radnog iskustva, obučenosti i ovlašćenja za vršenje tih poslova) u skladu sa Zakonom o rudarstvu („Sl.list CG“, br. 65/08, 74/10</w:t>
      </w:r>
      <w:r w:rsidR="003D3C39" w:rsidRPr="002A0BEE">
        <w:rPr>
          <w:rFonts w:asciiTheme="majorHAnsi" w:hAnsiTheme="majorHAnsi" w:cstheme="minorHAnsi"/>
          <w:color w:val="000000"/>
          <w:szCs w:val="24"/>
          <w:lang w:val="sr-Latn-CS"/>
        </w:rPr>
        <w:t xml:space="preserve"> </w:t>
      </w:r>
      <w:r w:rsidR="003D3C39" w:rsidRPr="002A0BEE">
        <w:rPr>
          <w:rFonts w:asciiTheme="majorHAnsi" w:hAnsiTheme="majorHAnsi" w:cstheme="minorHAnsi"/>
          <w:szCs w:val="24"/>
          <w:lang w:val="sr-Latn-CS"/>
        </w:rPr>
        <w:t>i 40/11</w:t>
      </w:r>
      <w:r w:rsidRPr="002A0BEE">
        <w:rPr>
          <w:rFonts w:asciiTheme="majorHAnsi" w:hAnsiTheme="majorHAnsi" w:cstheme="minorHAnsi"/>
          <w:color w:val="000000"/>
          <w:szCs w:val="24"/>
          <w:lang w:val="sr-Latn-CS"/>
        </w:rPr>
        <w:t>).</w:t>
      </w:r>
    </w:p>
    <w:p w:rsidR="009248F4" w:rsidRPr="002A0BEE" w:rsidRDefault="009248F4" w:rsidP="00025495">
      <w:pPr>
        <w:pStyle w:val="ListParagraph"/>
        <w:numPr>
          <w:ilvl w:val="0"/>
          <w:numId w:val="11"/>
        </w:numPr>
        <w:contextualSpacing w:val="0"/>
        <w:jc w:val="both"/>
        <w:rPr>
          <w:rFonts w:asciiTheme="majorHAnsi" w:hAnsiTheme="majorHAnsi" w:cstheme="minorHAnsi"/>
          <w:color w:val="000000"/>
          <w:szCs w:val="24"/>
          <w:lang w:val="sr-Latn-CS"/>
        </w:rPr>
      </w:pPr>
      <w:r w:rsidRPr="002A0BEE">
        <w:rPr>
          <w:rFonts w:asciiTheme="majorHAnsi" w:hAnsiTheme="majorHAnsi" w:cstheme="minorHAnsi"/>
          <w:color w:val="000000"/>
          <w:szCs w:val="24"/>
          <w:lang w:val="sr-Latn-CS"/>
        </w:rPr>
        <w:lastRenderedPageBreak/>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9248F4" w:rsidRPr="002A0BEE" w:rsidRDefault="009248F4" w:rsidP="0055031D">
      <w:pPr>
        <w:pStyle w:val="Heading1"/>
        <w:numPr>
          <w:ilvl w:val="0"/>
          <w:numId w:val="47"/>
        </w:numPr>
        <w:spacing w:before="0" w:after="200"/>
        <w:rPr>
          <w:rFonts w:asciiTheme="majorHAnsi" w:hAnsiTheme="majorHAnsi" w:cstheme="minorHAnsi"/>
          <w:sz w:val="24"/>
          <w:szCs w:val="24"/>
          <w:lang w:val="sr-Latn-CS"/>
        </w:rPr>
      </w:pPr>
      <w:bookmarkStart w:id="87" w:name="_Toc390549907"/>
      <w:bookmarkStart w:id="88" w:name="_Toc401959433"/>
      <w:bookmarkStart w:id="89" w:name="_Toc401959526"/>
      <w:bookmarkStart w:id="90" w:name="_Toc435529015"/>
      <w:bookmarkStart w:id="91" w:name="_Toc436124884"/>
      <w:r w:rsidRPr="002A0BEE">
        <w:rPr>
          <w:rFonts w:asciiTheme="majorHAnsi" w:hAnsiTheme="majorHAnsi" w:cstheme="minorHAnsi"/>
          <w:sz w:val="24"/>
          <w:szCs w:val="24"/>
          <w:lang w:val="sr-Latn-CS"/>
        </w:rPr>
        <w:t>Minimalni početni iznos koncesione naknade</w:t>
      </w:r>
      <w:bookmarkEnd w:id="87"/>
      <w:bookmarkEnd w:id="88"/>
      <w:bookmarkEnd w:id="89"/>
      <w:bookmarkEnd w:id="90"/>
      <w:bookmarkEnd w:id="91"/>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Koncesionim aktom se utvrđuje minimalni - početni iznos koncesione naknade.</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Minimalna koncesiona naknada se utvrđuje na osnovu Uredbe o kriterijumima i načinu obračuna iznosa minimalne koncesione naknade za ustupanje prava na istraživanje i eksploataciju mineralnih sirovina („Sl. list CG“, br. 37/11).</w:t>
      </w:r>
    </w:p>
    <w:p w:rsidR="007519C5"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Navedenom Uredbom je utvrđeno da se minimalna koncesiona naknada određuje za eksploataciju mineralnih sirovina, tj. za period eksploatacije, a ne i za period koji je predviđen za detaljna geološka istraživanja.</w:t>
      </w:r>
    </w:p>
    <w:p w:rsidR="009248F4" w:rsidRPr="002A0BEE" w:rsidRDefault="009248F4" w:rsidP="0055031D">
      <w:pPr>
        <w:pStyle w:val="Heading2"/>
        <w:numPr>
          <w:ilvl w:val="1"/>
          <w:numId w:val="47"/>
        </w:numPr>
        <w:spacing w:before="0" w:after="200"/>
        <w:rPr>
          <w:rFonts w:cstheme="minorHAnsi"/>
          <w:szCs w:val="24"/>
          <w:lang w:val="sr-Latn-CS"/>
        </w:rPr>
      </w:pPr>
      <w:bookmarkStart w:id="92" w:name="_Toc390549908"/>
      <w:bookmarkStart w:id="93" w:name="_Toc401959434"/>
      <w:bookmarkStart w:id="94" w:name="_Toc401959527"/>
      <w:bookmarkStart w:id="95" w:name="_Toc435529016"/>
      <w:bookmarkStart w:id="96" w:name="_Toc436124885"/>
      <w:r w:rsidRPr="002A0BEE">
        <w:rPr>
          <w:rFonts w:cstheme="minorHAnsi"/>
          <w:szCs w:val="24"/>
          <w:lang w:val="sr-Latn-CS"/>
        </w:rPr>
        <w:t>Minimalni početni iznos koncesione naknade za eksploataciju</w:t>
      </w:r>
      <w:bookmarkEnd w:id="92"/>
      <w:bookmarkEnd w:id="93"/>
      <w:bookmarkEnd w:id="94"/>
      <w:bookmarkEnd w:id="95"/>
      <w:bookmarkEnd w:id="96"/>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Minimalna koncesiona naknada za eksploataciju (čl. 3 Uredbe) određuje se na osnovu sljedećih kriterijuma:</w:t>
      </w:r>
    </w:p>
    <w:p w:rsidR="009248F4" w:rsidRPr="002A0BEE" w:rsidRDefault="009248F4" w:rsidP="002E447F">
      <w:pPr>
        <w:numPr>
          <w:ilvl w:val="0"/>
          <w:numId w:val="4"/>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rezervi mineralne sirovine koja je predmet koncesije;</w:t>
      </w:r>
    </w:p>
    <w:p w:rsidR="009248F4" w:rsidRPr="002A0BEE" w:rsidRDefault="009248F4" w:rsidP="002E447F">
      <w:pPr>
        <w:numPr>
          <w:ilvl w:val="0"/>
          <w:numId w:val="4"/>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pripadnosti grupi ležišta;</w:t>
      </w:r>
    </w:p>
    <w:p w:rsidR="009248F4" w:rsidRPr="002A0BEE" w:rsidRDefault="009248F4" w:rsidP="002E447F">
      <w:pPr>
        <w:numPr>
          <w:ilvl w:val="0"/>
          <w:numId w:val="4"/>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kvaliteta mineralne sirovine; i</w:t>
      </w:r>
    </w:p>
    <w:p w:rsidR="009248F4" w:rsidRPr="002A0BEE" w:rsidRDefault="009248F4" w:rsidP="00025495">
      <w:pPr>
        <w:numPr>
          <w:ilvl w:val="0"/>
          <w:numId w:val="4"/>
        </w:numPr>
        <w:jc w:val="both"/>
        <w:rPr>
          <w:rFonts w:asciiTheme="majorHAnsi" w:hAnsiTheme="majorHAnsi" w:cstheme="minorHAnsi"/>
          <w:szCs w:val="24"/>
          <w:lang w:val="sr-Latn-CS"/>
        </w:rPr>
      </w:pPr>
      <w:r w:rsidRPr="002A0BEE">
        <w:rPr>
          <w:rFonts w:asciiTheme="majorHAnsi" w:hAnsiTheme="majorHAnsi" w:cstheme="minorHAnsi"/>
          <w:szCs w:val="24"/>
          <w:lang w:val="sr-Latn-CS"/>
        </w:rPr>
        <w:t>tržišne cijene mineralne sirovine.</w:t>
      </w:r>
    </w:p>
    <w:p w:rsidR="009248F4" w:rsidRPr="002A0BEE" w:rsidRDefault="009248F4" w:rsidP="0055031D">
      <w:pPr>
        <w:pStyle w:val="Heading3"/>
        <w:numPr>
          <w:ilvl w:val="2"/>
          <w:numId w:val="47"/>
        </w:numPr>
        <w:spacing w:before="0" w:after="200"/>
        <w:rPr>
          <w:rFonts w:cstheme="minorHAnsi"/>
          <w:szCs w:val="24"/>
          <w:lang w:val="sr-Latn-CS"/>
        </w:rPr>
      </w:pPr>
      <w:bookmarkStart w:id="97" w:name="_Toc390549909"/>
      <w:bookmarkStart w:id="98" w:name="_Toc435529017"/>
      <w:bookmarkStart w:id="99" w:name="_Toc401959435"/>
      <w:bookmarkStart w:id="100" w:name="_Toc401959528"/>
      <w:bookmarkStart w:id="101" w:name="_Toc436124886"/>
      <w:r w:rsidRPr="002A0BEE">
        <w:rPr>
          <w:rFonts w:cstheme="minorHAnsi"/>
          <w:szCs w:val="24"/>
          <w:lang w:val="sr-Latn-CS"/>
        </w:rPr>
        <w:t>Rezerve mineralne sirovine</w:t>
      </w:r>
      <w:bookmarkEnd w:id="97"/>
      <w:bookmarkEnd w:id="98"/>
      <w:bookmarkEnd w:id="99"/>
      <w:bookmarkEnd w:id="100"/>
      <w:bookmarkEnd w:id="101"/>
    </w:p>
    <w:p w:rsidR="009248F4" w:rsidRPr="002A0BEE" w:rsidRDefault="009248F4" w:rsidP="00025495">
      <w:pPr>
        <w:jc w:val="both"/>
        <w:rPr>
          <w:rFonts w:asciiTheme="majorHAnsi" w:hAnsiTheme="majorHAnsi" w:cstheme="minorHAnsi"/>
          <w:b/>
          <w:szCs w:val="24"/>
          <w:lang w:val="sr-Latn-CS"/>
        </w:rPr>
      </w:pPr>
      <w:r w:rsidRPr="002A0BEE">
        <w:rPr>
          <w:rFonts w:asciiTheme="majorHAnsi" w:hAnsiTheme="majorHAnsi" w:cstheme="minorHAnsi"/>
          <w:szCs w:val="24"/>
          <w:lang w:val="sr-Latn-CS"/>
        </w:rPr>
        <w:t>Prema minimalnom godišnjem kap</w:t>
      </w:r>
      <w:r w:rsidR="00D40104" w:rsidRPr="002A0BEE">
        <w:rPr>
          <w:rFonts w:asciiTheme="majorHAnsi" w:hAnsiTheme="majorHAnsi" w:cstheme="minorHAnsi"/>
          <w:szCs w:val="24"/>
          <w:lang w:val="sr-Latn-CS"/>
        </w:rPr>
        <w:t xml:space="preserve">acitetu proizvodnje od oko </w:t>
      </w:r>
      <w:r w:rsidR="00025495" w:rsidRPr="002A0BEE">
        <w:rPr>
          <w:rFonts w:asciiTheme="majorHAnsi" w:hAnsiTheme="majorHAnsi" w:cstheme="minorHAnsi"/>
          <w:szCs w:val="24"/>
          <w:lang w:val="sr-Latn-CS"/>
        </w:rPr>
        <w:t>9.091</w:t>
      </w:r>
      <w:r w:rsidRPr="002A0BEE">
        <w:rPr>
          <w:rFonts w:asciiTheme="majorHAnsi" w:hAnsiTheme="majorHAnsi" w:cstheme="minorHAnsi"/>
          <w:szCs w:val="24"/>
          <w:lang w:val="sr-Latn-CS"/>
        </w:rPr>
        <w:t xml:space="preserve"> m</w:t>
      </w:r>
      <w:r w:rsidRPr="002A0BEE">
        <w:rPr>
          <w:rFonts w:asciiTheme="majorHAnsi" w:hAnsiTheme="majorHAnsi" w:cstheme="minorHAnsi"/>
          <w:szCs w:val="24"/>
          <w:vertAlign w:val="superscript"/>
          <w:lang w:val="sr-Latn-CS"/>
        </w:rPr>
        <w:t xml:space="preserve">3 </w:t>
      </w:r>
      <w:r w:rsidRPr="002A0BEE">
        <w:rPr>
          <w:rFonts w:asciiTheme="majorHAnsi" w:hAnsiTheme="majorHAnsi" w:cstheme="minorHAnsi"/>
          <w:szCs w:val="24"/>
          <w:lang w:val="sr-Latn-CS"/>
        </w:rPr>
        <w:t>č.s.m.</w:t>
      </w:r>
      <w:r w:rsidR="00D40104" w:rsidRPr="002A0BEE">
        <w:rPr>
          <w:rFonts w:asciiTheme="majorHAnsi" w:hAnsiTheme="majorHAnsi" w:cstheme="minorHAnsi"/>
          <w:szCs w:val="24"/>
          <w:lang w:val="sr-Latn-CS"/>
        </w:rPr>
        <w:t>, odnosno (uz iskoršćenje od 22 % č.s.m.) 2.</w:t>
      </w:r>
      <w:r w:rsidR="0039461C" w:rsidRPr="002A0BEE">
        <w:rPr>
          <w:rFonts w:asciiTheme="majorHAnsi" w:hAnsiTheme="majorHAnsi" w:cstheme="minorHAnsi"/>
          <w:szCs w:val="24"/>
          <w:lang w:val="sr-Latn-CS"/>
        </w:rPr>
        <w:t xml:space="preserve">000 </w:t>
      </w:r>
      <w:r w:rsidRPr="002A0BEE">
        <w:rPr>
          <w:rFonts w:asciiTheme="majorHAnsi" w:hAnsiTheme="majorHAnsi" w:cstheme="minorHAnsi"/>
          <w:szCs w:val="24"/>
          <w:lang w:val="sr-Latn-CS"/>
        </w:rPr>
        <w:t>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tombolona i ko</w:t>
      </w:r>
      <w:r w:rsidR="00D40104" w:rsidRPr="002A0BEE">
        <w:rPr>
          <w:rFonts w:asciiTheme="majorHAnsi" w:hAnsiTheme="majorHAnsi" w:cstheme="minorHAnsi"/>
          <w:szCs w:val="24"/>
          <w:lang w:val="sr-Latn-CS"/>
        </w:rPr>
        <w:t>mercijalnog bloka</w:t>
      </w:r>
      <w:r w:rsidRPr="002A0BEE">
        <w:rPr>
          <w:rFonts w:asciiTheme="majorHAnsi" w:hAnsiTheme="majorHAnsi" w:cstheme="minorHAnsi"/>
          <w:szCs w:val="24"/>
          <w:lang w:val="sr-Latn-CS"/>
        </w:rPr>
        <w:t>,</w:t>
      </w:r>
      <w:r w:rsidR="00D40104" w:rsidRPr="002A0BEE">
        <w:rPr>
          <w:rFonts w:asciiTheme="majorHAnsi" w:hAnsiTheme="majorHAnsi" w:cstheme="minorHAnsi"/>
          <w:b/>
          <w:szCs w:val="24"/>
          <w:lang w:val="sr-Latn-CS"/>
        </w:rPr>
        <w:t xml:space="preserve"> za period od 30</w:t>
      </w:r>
      <w:r w:rsidRPr="002A0BEE">
        <w:rPr>
          <w:rFonts w:asciiTheme="majorHAnsi" w:hAnsiTheme="majorHAnsi" w:cstheme="minorHAnsi"/>
          <w:b/>
          <w:szCs w:val="24"/>
          <w:lang w:val="sr-Latn-CS"/>
        </w:rPr>
        <w:t xml:space="preserve"> godina, </w:t>
      </w:r>
      <w:r w:rsidR="00D40104" w:rsidRPr="002A0BEE">
        <w:rPr>
          <w:rFonts w:asciiTheme="majorHAnsi" w:hAnsiTheme="majorHAnsi" w:cstheme="minorHAnsi"/>
          <w:b/>
          <w:szCs w:val="24"/>
          <w:lang w:val="sr-Latn-CS"/>
        </w:rPr>
        <w:t xml:space="preserve">otkopalo bi se oko </w:t>
      </w:r>
      <w:r w:rsidR="002279AB" w:rsidRPr="002A0BEE">
        <w:rPr>
          <w:rFonts w:asciiTheme="majorHAnsi" w:hAnsiTheme="majorHAnsi" w:cstheme="minorHAnsi"/>
          <w:b/>
          <w:szCs w:val="24"/>
          <w:lang w:val="sr-Latn-CS"/>
        </w:rPr>
        <w:t>272.730</w:t>
      </w:r>
      <w:r w:rsidRPr="002A0BEE">
        <w:rPr>
          <w:rFonts w:asciiTheme="majorHAnsi" w:hAnsiTheme="majorHAnsi" w:cstheme="minorHAnsi"/>
          <w:b/>
          <w:szCs w:val="24"/>
          <w:lang w:val="sr-Latn-CS"/>
        </w:rPr>
        <w:t xml:space="preserve"> m</w:t>
      </w:r>
      <w:r w:rsidRPr="002A0BEE">
        <w:rPr>
          <w:rFonts w:asciiTheme="majorHAnsi" w:hAnsiTheme="majorHAnsi" w:cstheme="minorHAnsi"/>
          <w:b/>
          <w:szCs w:val="24"/>
          <w:vertAlign w:val="superscript"/>
          <w:lang w:val="sr-Latn-CS"/>
        </w:rPr>
        <w:t>3</w:t>
      </w:r>
      <w:r w:rsidRPr="002A0BEE">
        <w:rPr>
          <w:rFonts w:asciiTheme="majorHAnsi" w:hAnsiTheme="majorHAnsi" w:cstheme="minorHAnsi"/>
          <w:b/>
          <w:szCs w:val="24"/>
          <w:lang w:val="sr-Latn-CS"/>
        </w:rPr>
        <w:t xml:space="preserve"> č.</w:t>
      </w:r>
      <w:r w:rsidR="00D40104" w:rsidRPr="002A0BEE">
        <w:rPr>
          <w:rFonts w:asciiTheme="majorHAnsi" w:hAnsiTheme="majorHAnsi" w:cstheme="minorHAnsi"/>
          <w:b/>
          <w:szCs w:val="24"/>
          <w:lang w:val="sr-Latn-CS"/>
        </w:rPr>
        <w:t xml:space="preserve">s.m, odnosno proizvelo bi se </w:t>
      </w:r>
      <w:r w:rsidR="0039461C" w:rsidRPr="002A0BEE">
        <w:rPr>
          <w:rFonts w:asciiTheme="majorHAnsi" w:hAnsiTheme="majorHAnsi" w:cstheme="minorHAnsi"/>
          <w:b/>
          <w:szCs w:val="24"/>
          <w:lang w:val="sr-Latn-CS"/>
        </w:rPr>
        <w:t>60</w:t>
      </w:r>
      <w:r w:rsidRPr="002A0BEE">
        <w:rPr>
          <w:rFonts w:asciiTheme="majorHAnsi" w:hAnsiTheme="majorHAnsi" w:cstheme="minorHAnsi"/>
          <w:b/>
          <w:szCs w:val="24"/>
          <w:lang w:val="sr-Latn-CS"/>
        </w:rPr>
        <w:t>.000 m</w:t>
      </w:r>
      <w:r w:rsidRPr="002A0BEE">
        <w:rPr>
          <w:rFonts w:asciiTheme="majorHAnsi" w:hAnsiTheme="majorHAnsi" w:cstheme="minorHAnsi"/>
          <w:b/>
          <w:szCs w:val="24"/>
          <w:vertAlign w:val="superscript"/>
          <w:lang w:val="sr-Latn-CS"/>
        </w:rPr>
        <w:t>3</w:t>
      </w:r>
      <w:r w:rsidRPr="002A0BEE">
        <w:rPr>
          <w:rFonts w:asciiTheme="majorHAnsi" w:hAnsiTheme="majorHAnsi" w:cstheme="minorHAnsi"/>
          <w:b/>
          <w:szCs w:val="24"/>
          <w:lang w:val="sr-Latn-CS"/>
        </w:rPr>
        <w:t xml:space="preserve"> tombolona i komercijalnog bloka kao tržišnog prozvoda.</w:t>
      </w:r>
    </w:p>
    <w:p w:rsidR="00D40104" w:rsidRPr="002A0BEE" w:rsidRDefault="00D40104" w:rsidP="00C44D89">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Prema minimalnom godišnjem kapacitetu proizvodnje od </w:t>
      </w:r>
      <w:r w:rsidR="002279AB" w:rsidRPr="002A0BEE">
        <w:rPr>
          <w:rFonts w:asciiTheme="majorHAnsi" w:hAnsiTheme="majorHAnsi" w:cstheme="minorHAnsi"/>
          <w:szCs w:val="24"/>
          <w:lang w:val="sr-Latn-CS"/>
        </w:rPr>
        <w:t>7</w:t>
      </w:r>
      <w:r w:rsidRPr="002A0BEE">
        <w:rPr>
          <w:rFonts w:asciiTheme="majorHAnsi" w:hAnsiTheme="majorHAnsi" w:cstheme="minorHAnsi"/>
          <w:szCs w:val="24"/>
          <w:lang w:val="sr-Latn-CS"/>
        </w:rPr>
        <w:t>.</w:t>
      </w:r>
      <w:r w:rsidR="002279AB" w:rsidRPr="002A0BEE">
        <w:rPr>
          <w:rFonts w:asciiTheme="majorHAnsi" w:hAnsiTheme="majorHAnsi" w:cstheme="minorHAnsi"/>
          <w:szCs w:val="24"/>
          <w:lang w:val="sr-Latn-CS"/>
        </w:rPr>
        <w:t xml:space="preserve">091 </w:t>
      </w:r>
      <w:r w:rsidRPr="002A0BEE">
        <w:rPr>
          <w:rFonts w:asciiTheme="majorHAnsi" w:hAnsiTheme="majorHAnsi" w:cstheme="minorHAnsi"/>
          <w:szCs w:val="24"/>
          <w:lang w:val="sr-Latn-CS"/>
        </w:rPr>
        <w:t>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č.s.m., odnosno (uz koeficijent rastresitosti od 1,65 %) </w:t>
      </w:r>
      <w:r w:rsidR="002279AB" w:rsidRPr="002A0BEE">
        <w:rPr>
          <w:rFonts w:asciiTheme="majorHAnsi" w:hAnsiTheme="majorHAnsi" w:cstheme="minorHAnsi"/>
          <w:szCs w:val="24"/>
          <w:lang w:val="sr-Latn-CS"/>
        </w:rPr>
        <w:t>11.700</w:t>
      </w:r>
      <w:r w:rsidRPr="002A0BEE">
        <w:rPr>
          <w:rFonts w:asciiTheme="majorHAnsi" w:hAnsiTheme="majorHAnsi" w:cstheme="minorHAnsi"/>
          <w:szCs w:val="24"/>
          <w:lang w:val="sr-Latn-CS"/>
        </w:rPr>
        <w:t xml:space="preserve"> 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agregata, </w:t>
      </w:r>
      <w:r w:rsidRPr="002A0BEE">
        <w:rPr>
          <w:rFonts w:asciiTheme="majorHAnsi" w:hAnsiTheme="majorHAnsi" w:cstheme="minorHAnsi"/>
          <w:b/>
          <w:szCs w:val="24"/>
          <w:lang w:val="sr-Latn-CS"/>
        </w:rPr>
        <w:t xml:space="preserve">za period od 30 godina otkopalo bi se oko </w:t>
      </w:r>
      <w:r w:rsidR="002279AB" w:rsidRPr="002A0BEE">
        <w:rPr>
          <w:rFonts w:asciiTheme="majorHAnsi" w:hAnsiTheme="majorHAnsi" w:cstheme="minorHAnsi"/>
          <w:b/>
          <w:szCs w:val="24"/>
          <w:lang w:val="sr-Latn-CS"/>
        </w:rPr>
        <w:t>212.730</w:t>
      </w:r>
      <w:r w:rsidRPr="002A0BEE">
        <w:rPr>
          <w:rFonts w:asciiTheme="majorHAnsi" w:hAnsiTheme="majorHAnsi" w:cstheme="minorHAnsi"/>
          <w:b/>
          <w:szCs w:val="24"/>
          <w:lang w:val="sr-Latn-CS"/>
        </w:rPr>
        <w:t xml:space="preserve"> m</w:t>
      </w:r>
      <w:r w:rsidRPr="002A0BEE">
        <w:rPr>
          <w:rFonts w:asciiTheme="majorHAnsi" w:hAnsiTheme="majorHAnsi" w:cstheme="minorHAnsi"/>
          <w:b/>
          <w:szCs w:val="24"/>
          <w:vertAlign w:val="superscript"/>
          <w:lang w:val="sr-Latn-CS"/>
        </w:rPr>
        <w:t>3</w:t>
      </w:r>
      <w:r w:rsidRPr="002A0BEE">
        <w:rPr>
          <w:rFonts w:asciiTheme="majorHAnsi" w:hAnsiTheme="majorHAnsi" w:cstheme="minorHAnsi"/>
          <w:b/>
          <w:szCs w:val="24"/>
          <w:lang w:val="sr-Latn-CS"/>
        </w:rPr>
        <w:t xml:space="preserve"> č.s.m., odnosno proizvelo bi se </w:t>
      </w:r>
      <w:r w:rsidR="002279AB" w:rsidRPr="002A0BEE">
        <w:rPr>
          <w:rFonts w:asciiTheme="majorHAnsi" w:hAnsiTheme="majorHAnsi" w:cstheme="minorHAnsi"/>
          <w:b/>
          <w:szCs w:val="24"/>
          <w:lang w:val="sr-Latn-CS"/>
        </w:rPr>
        <w:t>351.000</w:t>
      </w:r>
      <w:r w:rsidRPr="002A0BEE">
        <w:rPr>
          <w:rFonts w:asciiTheme="majorHAnsi" w:hAnsiTheme="majorHAnsi" w:cstheme="minorHAnsi"/>
          <w:b/>
          <w:szCs w:val="24"/>
          <w:lang w:val="sr-Latn-CS"/>
        </w:rPr>
        <w:t xml:space="preserve"> m</w:t>
      </w:r>
      <w:r w:rsidRPr="002A0BEE">
        <w:rPr>
          <w:rFonts w:asciiTheme="majorHAnsi" w:hAnsiTheme="majorHAnsi" w:cstheme="minorHAnsi"/>
          <w:b/>
          <w:szCs w:val="24"/>
          <w:vertAlign w:val="superscript"/>
          <w:lang w:val="sr-Latn-CS"/>
        </w:rPr>
        <w:t>3</w:t>
      </w:r>
      <w:r w:rsidRPr="002A0BEE">
        <w:rPr>
          <w:rFonts w:asciiTheme="majorHAnsi" w:hAnsiTheme="majorHAnsi" w:cstheme="minorHAnsi"/>
          <w:b/>
          <w:szCs w:val="24"/>
          <w:lang w:val="sr-Latn-CS"/>
        </w:rPr>
        <w:t xml:space="preserve"> agregata.</w:t>
      </w:r>
    </w:p>
    <w:p w:rsidR="00D40104" w:rsidRPr="002A0BEE" w:rsidRDefault="00D40104" w:rsidP="00025495">
      <w:pPr>
        <w:jc w:val="both"/>
        <w:rPr>
          <w:rFonts w:asciiTheme="majorHAnsi" w:hAnsiTheme="majorHAnsi" w:cstheme="minorHAnsi"/>
          <w:szCs w:val="24"/>
          <w:lang w:val="sr-Latn-CS"/>
        </w:rPr>
      </w:pPr>
    </w:p>
    <w:p w:rsidR="009248F4" w:rsidRPr="002A0BEE" w:rsidRDefault="009248F4" w:rsidP="0055031D">
      <w:pPr>
        <w:pStyle w:val="Heading3"/>
        <w:numPr>
          <w:ilvl w:val="2"/>
          <w:numId w:val="47"/>
        </w:numPr>
        <w:spacing w:before="0" w:after="200"/>
        <w:rPr>
          <w:rFonts w:cstheme="minorHAnsi"/>
          <w:szCs w:val="24"/>
          <w:lang w:val="sr-Latn-CS"/>
        </w:rPr>
      </w:pPr>
      <w:bookmarkStart w:id="102" w:name="_Toc390549910"/>
      <w:bookmarkStart w:id="103" w:name="_Toc401959436"/>
      <w:bookmarkStart w:id="104" w:name="_Toc401959529"/>
      <w:bookmarkStart w:id="105" w:name="_Toc435529018"/>
      <w:bookmarkStart w:id="106" w:name="_Toc436124887"/>
      <w:r w:rsidRPr="002A0BEE">
        <w:rPr>
          <w:rFonts w:cstheme="minorHAnsi"/>
          <w:szCs w:val="24"/>
          <w:lang w:val="sr-Latn-CS"/>
        </w:rPr>
        <w:lastRenderedPageBreak/>
        <w:t>Pripadnost grupi ležišta</w:t>
      </w:r>
      <w:bookmarkEnd w:id="102"/>
      <w:bookmarkEnd w:id="103"/>
      <w:bookmarkEnd w:id="104"/>
      <w:bookmarkEnd w:id="105"/>
      <w:bookmarkEnd w:id="106"/>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Ležište arhitektonsko-građe</w:t>
      </w:r>
      <w:r w:rsidR="00D40104" w:rsidRPr="002A0BEE">
        <w:rPr>
          <w:rFonts w:asciiTheme="majorHAnsi" w:hAnsiTheme="majorHAnsi" w:cstheme="minorHAnsi"/>
          <w:szCs w:val="24"/>
          <w:lang w:val="sr-Latn-CS"/>
        </w:rPr>
        <w:t>vinskog (ukrasnog) kamena „Visočica“</w:t>
      </w:r>
      <w:r w:rsidRPr="002A0BEE">
        <w:rPr>
          <w:rFonts w:asciiTheme="majorHAnsi" w:hAnsiTheme="majorHAnsi" w:cstheme="minorHAnsi"/>
          <w:szCs w:val="24"/>
          <w:lang w:val="sr-Latn-CS"/>
        </w:rPr>
        <w:t xml:space="preserve"> navedenoj Uredbi, a na osnovu postojećih karakteristika i očekivanih uslova za eksploataciju, svrstano je u treću grupu geogenih ležišta (G</w:t>
      </w:r>
      <w:r w:rsidRPr="002A0BEE">
        <w:rPr>
          <w:rFonts w:asciiTheme="majorHAnsi" w:hAnsiTheme="majorHAnsi" w:cstheme="minorHAnsi"/>
          <w:szCs w:val="24"/>
          <w:vertAlign w:val="subscript"/>
          <w:lang w:val="sr-Latn-CS"/>
        </w:rPr>
        <w:t>3</w:t>
      </w:r>
      <w:r w:rsidRPr="002A0BEE">
        <w:rPr>
          <w:rFonts w:asciiTheme="majorHAnsi" w:hAnsiTheme="majorHAnsi" w:cstheme="minorHAnsi"/>
          <w:szCs w:val="24"/>
          <w:lang w:val="sr-Latn-CS"/>
        </w:rPr>
        <w:t>).</w:t>
      </w:r>
    </w:p>
    <w:p w:rsidR="009248F4" w:rsidRPr="002A0BEE" w:rsidRDefault="009248F4"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Po tom osnovu, procentni iznos za obračun minimalne - početne koncesione naknade (čl. 15 Uredbe) iznosi </w:t>
      </w:r>
      <w:r w:rsidRPr="002A0BEE">
        <w:rPr>
          <w:rFonts w:asciiTheme="majorHAnsi" w:hAnsiTheme="majorHAnsi" w:cstheme="minorHAnsi"/>
          <w:b/>
          <w:szCs w:val="24"/>
          <w:lang w:val="sr-Latn-CS"/>
        </w:rPr>
        <w:t>7%</w:t>
      </w:r>
      <w:r w:rsidRPr="002A0BEE">
        <w:rPr>
          <w:rFonts w:asciiTheme="majorHAnsi" w:hAnsiTheme="majorHAnsi" w:cstheme="minorHAnsi"/>
          <w:szCs w:val="24"/>
          <w:lang w:val="sr-Latn-CS"/>
        </w:rPr>
        <w:t xml:space="preserve"> od tržišne vrijednosti bilansnih ili eksploatacionih rezervi arhitektonsko-građevinskog (ukrasnog) kamena</w:t>
      </w:r>
      <w:r w:rsidR="002454D1" w:rsidRPr="002A0BEE">
        <w:rPr>
          <w:rFonts w:asciiTheme="majorHAnsi" w:hAnsiTheme="majorHAnsi" w:cstheme="minorHAnsi"/>
          <w:szCs w:val="24"/>
          <w:lang w:val="sr-Latn-CS"/>
        </w:rPr>
        <w:t xml:space="preserve"> i tehničko-građevinskog kamena</w:t>
      </w:r>
      <w:r w:rsidRPr="002A0BEE">
        <w:rPr>
          <w:rFonts w:asciiTheme="majorHAnsi" w:hAnsiTheme="majorHAnsi" w:cstheme="minorHAnsi"/>
          <w:szCs w:val="24"/>
          <w:lang w:val="sr-Latn-CS"/>
        </w:rPr>
        <w:t>, odnosno ukupnog tržišnog proizvoda, za koncesi</w:t>
      </w:r>
      <w:r w:rsidR="002454D1" w:rsidRPr="002A0BEE">
        <w:rPr>
          <w:rFonts w:asciiTheme="majorHAnsi" w:hAnsiTheme="majorHAnsi" w:cstheme="minorHAnsi"/>
          <w:szCs w:val="24"/>
          <w:lang w:val="sr-Latn-CS"/>
        </w:rPr>
        <w:t>oni period za eksploataciju od 3</w:t>
      </w:r>
      <w:r w:rsidRPr="002A0BEE">
        <w:rPr>
          <w:rFonts w:asciiTheme="majorHAnsi" w:hAnsiTheme="majorHAnsi" w:cstheme="minorHAnsi"/>
          <w:szCs w:val="24"/>
          <w:lang w:val="sr-Latn-CS"/>
        </w:rPr>
        <w:t>0 godina.</w:t>
      </w:r>
    </w:p>
    <w:p w:rsidR="003C2C76" w:rsidRPr="002A0BEE" w:rsidRDefault="009248F4" w:rsidP="0055031D">
      <w:pPr>
        <w:pStyle w:val="Heading3"/>
        <w:numPr>
          <w:ilvl w:val="2"/>
          <w:numId w:val="47"/>
        </w:numPr>
        <w:spacing w:before="0" w:after="200"/>
        <w:rPr>
          <w:rFonts w:cstheme="minorHAnsi"/>
          <w:szCs w:val="24"/>
          <w:lang w:val="sr-Latn-CS"/>
        </w:rPr>
      </w:pPr>
      <w:bookmarkStart w:id="107" w:name="_Toc390549911"/>
      <w:bookmarkStart w:id="108" w:name="_Toc401959437"/>
      <w:bookmarkStart w:id="109" w:name="_Toc401959530"/>
      <w:bookmarkStart w:id="110" w:name="_Toc435529019"/>
      <w:bookmarkStart w:id="111" w:name="_Toc436124888"/>
      <w:r w:rsidRPr="002A0BEE">
        <w:rPr>
          <w:rFonts w:cstheme="minorHAnsi"/>
          <w:szCs w:val="24"/>
          <w:lang w:val="sr-Latn-CS"/>
        </w:rPr>
        <w:t>Kvalitet mineralne sirovine</w:t>
      </w:r>
      <w:bookmarkEnd w:id="107"/>
      <w:bookmarkEnd w:id="108"/>
      <w:bookmarkEnd w:id="109"/>
      <w:bookmarkEnd w:id="110"/>
      <w:bookmarkEnd w:id="111"/>
    </w:p>
    <w:p w:rsidR="002454D1" w:rsidRPr="002A0BEE" w:rsidRDefault="002454D1" w:rsidP="00025495">
      <w:pPr>
        <w:jc w:val="both"/>
        <w:rPr>
          <w:rFonts w:asciiTheme="majorHAnsi" w:hAnsiTheme="majorHAnsi" w:cstheme="minorHAnsi"/>
          <w:szCs w:val="24"/>
          <w:lang w:val="sr-Latn-CS"/>
        </w:rPr>
      </w:pPr>
      <w:r w:rsidRPr="002A0BEE">
        <w:rPr>
          <w:rFonts w:asciiTheme="majorHAnsi" w:hAnsiTheme="majorHAnsi" w:cstheme="minorHAnsi"/>
          <w:bCs/>
          <w:szCs w:val="24"/>
          <w:lang w:val="sr-Latn-CS"/>
        </w:rPr>
        <w:t xml:space="preserve">JU Zavod za geološka istraživanja – Podgorica je, za potrebe </w:t>
      </w:r>
      <w:r w:rsidR="002279AB" w:rsidRPr="002A0BEE">
        <w:rPr>
          <w:rFonts w:asciiTheme="majorHAnsi" w:hAnsiTheme="majorHAnsi" w:cstheme="minorHAnsi"/>
          <w:bCs/>
          <w:szCs w:val="24"/>
          <w:lang w:val="sr-Latn-CS"/>
        </w:rPr>
        <w:t>predhodnog koncesionara</w:t>
      </w:r>
      <w:r w:rsidRPr="002A0BEE">
        <w:rPr>
          <w:rFonts w:asciiTheme="majorHAnsi" w:hAnsiTheme="majorHAnsi" w:cstheme="minorHAnsi"/>
          <w:bCs/>
          <w:szCs w:val="24"/>
          <w:lang w:val="sr-Latn-CS"/>
        </w:rPr>
        <w:t xml:space="preserve">, uradila Elaborat </w:t>
      </w:r>
      <w:r w:rsidRPr="002A0BEE">
        <w:rPr>
          <w:rFonts w:asciiTheme="majorHAnsi" w:hAnsiTheme="majorHAnsi" w:cstheme="minorHAnsi"/>
          <w:szCs w:val="24"/>
          <w:lang w:val="sr-Latn-CS"/>
        </w:rPr>
        <w:t xml:space="preserve">o klasifikaciji, kategorizaciji i proračunu rezervi </w:t>
      </w:r>
      <w:r w:rsidRPr="002A0BEE">
        <w:rPr>
          <w:rFonts w:asciiTheme="majorHAnsi" w:hAnsiTheme="majorHAnsi" w:cstheme="minorHAnsi"/>
          <w:bCs/>
          <w:szCs w:val="24"/>
          <w:lang w:val="sr-Latn-CS"/>
        </w:rPr>
        <w:t xml:space="preserve">arhitektonsko-građevinskog i tehničko-građevinskog kamena ležišta “Visočica” kod Spuža, stanje 31.12.2012. godine, a isti je ovjeren Rješenjem Ministarstva ekonomije, broj: </w:t>
      </w:r>
      <w:r w:rsidRPr="002A0BEE">
        <w:rPr>
          <w:rFonts w:asciiTheme="majorHAnsi" w:hAnsiTheme="majorHAnsi" w:cstheme="minorHAnsi"/>
          <w:szCs w:val="24"/>
          <w:lang w:val="sr-Latn-CS"/>
        </w:rPr>
        <w:t>01-1462/4 od 09.09.2013. godine.</w:t>
      </w:r>
    </w:p>
    <w:p w:rsidR="002454D1" w:rsidRPr="002A0BEE" w:rsidRDefault="002454D1"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U Elaboratu, na osnovu analiziranih rezultata, saglasno utvrđenim svojstvima i odredbama standarda, konstatovano je da se kamen (krečnjak) sa lokaliteta „Visočica“ u arhitektonsko-građevinske svrhe može upotrijebiti za:</w:t>
      </w:r>
    </w:p>
    <w:p w:rsidR="002454D1" w:rsidRPr="002A0BEE" w:rsidRDefault="002454D1" w:rsidP="0055031D">
      <w:pPr>
        <w:numPr>
          <w:ilvl w:val="0"/>
          <w:numId w:val="28"/>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unutrašnja oblaganja horizontalnih površina sa umjerenim pješačkim saobraćajem (biblioteke, arhive, knjižare, čekaonice i sl), UH-3;</w:t>
      </w:r>
    </w:p>
    <w:p w:rsidR="002454D1" w:rsidRPr="002A0BEE" w:rsidRDefault="002454D1" w:rsidP="0055031D">
      <w:pPr>
        <w:numPr>
          <w:ilvl w:val="0"/>
          <w:numId w:val="28"/>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unutrašnja oblaganja vertikalnih površina, UV; i</w:t>
      </w:r>
    </w:p>
    <w:p w:rsidR="002454D1" w:rsidRPr="002A0BEE" w:rsidRDefault="002454D1" w:rsidP="0055031D">
      <w:pPr>
        <w:numPr>
          <w:ilvl w:val="0"/>
          <w:numId w:val="28"/>
        </w:numPr>
        <w:jc w:val="both"/>
        <w:rPr>
          <w:rFonts w:asciiTheme="majorHAnsi" w:hAnsiTheme="majorHAnsi" w:cstheme="minorHAnsi"/>
          <w:szCs w:val="24"/>
          <w:lang w:val="sr-Latn-CS"/>
        </w:rPr>
      </w:pPr>
      <w:r w:rsidRPr="002A0BEE">
        <w:rPr>
          <w:rFonts w:asciiTheme="majorHAnsi" w:hAnsiTheme="majorHAnsi" w:cstheme="minorHAnsi"/>
          <w:szCs w:val="24"/>
          <w:lang w:val="sr-Latn-CS"/>
        </w:rPr>
        <w:t>spoljašnja oblaganja vertikalnih površina objekata visine do 10 m iznad terena, SV-3.</w:t>
      </w:r>
    </w:p>
    <w:p w:rsidR="002454D1" w:rsidRPr="002A0BEE" w:rsidRDefault="002454D1" w:rsidP="00025495">
      <w:pPr>
        <w:jc w:val="both"/>
        <w:rPr>
          <w:rFonts w:asciiTheme="majorHAnsi" w:hAnsiTheme="majorHAnsi" w:cstheme="minorHAnsi"/>
          <w:szCs w:val="24"/>
          <w:lang w:val="sr-Latn-CS"/>
        </w:rPr>
      </w:pPr>
      <w:r w:rsidRPr="002A0BEE">
        <w:rPr>
          <w:rFonts w:asciiTheme="majorHAnsi" w:hAnsiTheme="majorHAnsi" w:cstheme="minorHAnsi"/>
          <w:szCs w:val="24"/>
          <w:lang w:val="sr-Latn-CS"/>
        </w:rPr>
        <w:t>Saglasno utvrđenim svojstvima i odredbama standarda, kamen (krečnjak) sa lokaliteta „Visočica“ kod Spuža, može se upotrijebiti kao:</w:t>
      </w:r>
    </w:p>
    <w:p w:rsidR="002454D1" w:rsidRPr="002A0BEE" w:rsidRDefault="002454D1" w:rsidP="0055031D">
      <w:pPr>
        <w:numPr>
          <w:ilvl w:val="0"/>
          <w:numId w:val="29"/>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arhitektonsko-građevinski kamen;</w:t>
      </w:r>
    </w:p>
    <w:p w:rsidR="002454D1" w:rsidRPr="002A0BEE" w:rsidRDefault="002454D1" w:rsidP="0055031D">
      <w:pPr>
        <w:numPr>
          <w:ilvl w:val="0"/>
          <w:numId w:val="29"/>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kao dekorativni kamen za izradu ploča za oblaganje vertikalnih površina (spoljnih i unutrašnjih, različitog stepena obrade);</w:t>
      </w:r>
    </w:p>
    <w:p w:rsidR="002454D1" w:rsidRPr="002A0BEE" w:rsidRDefault="002454D1" w:rsidP="0055031D">
      <w:pPr>
        <w:numPr>
          <w:ilvl w:val="0"/>
          <w:numId w:val="29"/>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kao kamen za izradu kamene galanterije i dr.;</w:t>
      </w:r>
    </w:p>
    <w:p w:rsidR="002454D1" w:rsidRPr="002A0BEE" w:rsidRDefault="002454D1" w:rsidP="0055031D">
      <w:pPr>
        <w:numPr>
          <w:ilvl w:val="0"/>
          <w:numId w:val="29"/>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kao sirovina za izradu drobljenog separisanog kamenog agregata za spravljanje:</w:t>
      </w:r>
    </w:p>
    <w:p w:rsidR="002454D1" w:rsidRPr="002A0BEE" w:rsidRDefault="002454D1" w:rsidP="002E447F">
      <w:pPr>
        <w:spacing w:after="0"/>
        <w:ind w:firstLine="900"/>
        <w:jc w:val="both"/>
        <w:rPr>
          <w:rFonts w:asciiTheme="majorHAnsi" w:hAnsiTheme="majorHAnsi" w:cstheme="minorHAnsi"/>
          <w:szCs w:val="24"/>
          <w:lang w:val="sr-Latn-CS"/>
        </w:rPr>
      </w:pPr>
      <w:r w:rsidRPr="002A0BEE">
        <w:rPr>
          <w:rFonts w:asciiTheme="majorHAnsi" w:hAnsiTheme="majorHAnsi" w:cstheme="minorHAnsi"/>
          <w:szCs w:val="24"/>
          <w:lang w:val="sr-Latn-CS"/>
        </w:rPr>
        <w:t>- cement betona (B-II), isključujući betone koji su izloženi habanju i eroziji,</w:t>
      </w:r>
    </w:p>
    <w:p w:rsidR="002454D1" w:rsidRPr="002A0BEE" w:rsidRDefault="002454D1" w:rsidP="002E447F">
      <w:pPr>
        <w:spacing w:after="0"/>
        <w:ind w:firstLine="900"/>
        <w:jc w:val="both"/>
        <w:rPr>
          <w:rFonts w:asciiTheme="majorHAnsi" w:hAnsiTheme="majorHAnsi" w:cstheme="minorHAnsi"/>
          <w:szCs w:val="24"/>
          <w:lang w:val="sr-Latn-CS"/>
        </w:rPr>
      </w:pPr>
      <w:r w:rsidRPr="002A0BEE">
        <w:rPr>
          <w:rFonts w:asciiTheme="majorHAnsi" w:hAnsiTheme="majorHAnsi" w:cstheme="minorHAnsi"/>
          <w:szCs w:val="24"/>
          <w:lang w:val="sr-Latn-CS"/>
        </w:rPr>
        <w:t>- maltera za malterisanje i dr.,</w:t>
      </w:r>
    </w:p>
    <w:p w:rsidR="002454D1" w:rsidRPr="002A0BEE" w:rsidRDefault="002454D1" w:rsidP="002E447F">
      <w:pPr>
        <w:spacing w:after="0"/>
        <w:ind w:left="1080" w:hanging="36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w:t>
      </w:r>
      <w:r w:rsidR="00B54BF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bituminiziranih slojeva asfalta za puteve srednjeg i malog saobraćajnog opterećenja;</w:t>
      </w:r>
    </w:p>
    <w:p w:rsidR="002454D1" w:rsidRPr="002A0BEE" w:rsidRDefault="002454D1" w:rsidP="0055031D">
      <w:pPr>
        <w:numPr>
          <w:ilvl w:val="0"/>
          <w:numId w:val="30"/>
        </w:numPr>
        <w:jc w:val="both"/>
        <w:rPr>
          <w:rFonts w:asciiTheme="majorHAnsi" w:hAnsiTheme="majorHAnsi" w:cstheme="minorHAnsi"/>
          <w:szCs w:val="24"/>
          <w:lang w:val="sr-Latn-CS"/>
        </w:rPr>
      </w:pPr>
      <w:r w:rsidRPr="002A0BEE">
        <w:rPr>
          <w:rFonts w:asciiTheme="majorHAnsi" w:hAnsiTheme="majorHAnsi" w:cstheme="minorHAnsi"/>
          <w:szCs w:val="24"/>
          <w:lang w:val="sr-Latn-CS"/>
        </w:rPr>
        <w:lastRenderedPageBreak/>
        <w:t>kamen se ne može upotrijebiti kao sirovina za izradu kamenog agregata za izradu betonskih i asfaltnih slojeva (završni slojevi) kod kojih se zahtijeva „visoka“ čvrstoća kamena pri pritisku i otpornost na „habanje brušenjem“.</w:t>
      </w:r>
    </w:p>
    <w:p w:rsidR="00C44D89" w:rsidRPr="002A0BEE" w:rsidRDefault="00C44D89" w:rsidP="00C44D89">
      <w:pPr>
        <w:jc w:val="both"/>
        <w:rPr>
          <w:rFonts w:asciiTheme="majorHAnsi" w:hAnsiTheme="majorHAnsi" w:cstheme="minorHAnsi"/>
          <w:szCs w:val="24"/>
          <w:lang w:val="sr-Latn-CS"/>
        </w:rPr>
      </w:pPr>
    </w:p>
    <w:p w:rsidR="009248F4" w:rsidRPr="002A0BEE" w:rsidRDefault="009248F4" w:rsidP="0055031D">
      <w:pPr>
        <w:pStyle w:val="Heading3"/>
        <w:numPr>
          <w:ilvl w:val="2"/>
          <w:numId w:val="47"/>
        </w:numPr>
        <w:spacing w:before="0" w:after="200"/>
        <w:rPr>
          <w:rFonts w:cstheme="minorHAnsi"/>
          <w:szCs w:val="24"/>
          <w:lang w:val="sr-Latn-CS"/>
        </w:rPr>
      </w:pPr>
      <w:bookmarkStart w:id="112" w:name="_Toc390549912"/>
      <w:bookmarkStart w:id="113" w:name="_Toc401959438"/>
      <w:bookmarkStart w:id="114" w:name="_Toc401959531"/>
      <w:bookmarkStart w:id="115" w:name="_Toc435529020"/>
      <w:bookmarkStart w:id="116" w:name="_Toc436124889"/>
      <w:r w:rsidRPr="002A0BEE">
        <w:rPr>
          <w:rFonts w:cstheme="minorHAnsi"/>
          <w:szCs w:val="24"/>
          <w:lang w:val="sr-Latn-CS"/>
        </w:rPr>
        <w:t>Tržišna vrijednost rezervi</w:t>
      </w:r>
      <w:bookmarkEnd w:id="112"/>
      <w:bookmarkEnd w:id="113"/>
      <w:bookmarkEnd w:id="114"/>
      <w:bookmarkEnd w:id="115"/>
      <w:bookmarkEnd w:id="116"/>
    </w:p>
    <w:p w:rsidR="009248F4" w:rsidRPr="002A0BEE" w:rsidRDefault="009248F4" w:rsidP="00C44D89">
      <w:pPr>
        <w:jc w:val="both"/>
        <w:rPr>
          <w:rFonts w:asciiTheme="majorHAnsi" w:eastAsia="Times New Roman" w:hAnsiTheme="majorHAnsi" w:cstheme="minorHAnsi"/>
          <w:szCs w:val="24"/>
          <w:lang w:val="sr-Latn-CS"/>
        </w:rPr>
      </w:pPr>
      <w:r w:rsidRPr="002A0BEE">
        <w:rPr>
          <w:rFonts w:asciiTheme="majorHAnsi" w:hAnsiTheme="majorHAnsi" w:cstheme="minorHAnsi"/>
          <w:szCs w:val="24"/>
          <w:lang w:val="sr-Latn-CS"/>
        </w:rPr>
        <w:t xml:space="preserve">Tržišna vrijednost rezervi komercijalnog bloka i tombolona (čl. 16 Uredbe) utvrđena je u iznosu od </w:t>
      </w:r>
      <w:r w:rsidRPr="002A0BEE">
        <w:rPr>
          <w:rFonts w:asciiTheme="majorHAnsi" w:hAnsiTheme="majorHAnsi" w:cstheme="minorHAnsi"/>
          <w:b/>
          <w:szCs w:val="24"/>
          <w:lang w:val="sr-Latn-CS"/>
        </w:rPr>
        <w:t>335,00 €/m</w:t>
      </w:r>
      <w:r w:rsidRPr="002A0BEE">
        <w:rPr>
          <w:rFonts w:asciiTheme="majorHAnsi" w:hAnsiTheme="majorHAnsi" w:cstheme="minorHAnsi"/>
          <w:b/>
          <w:szCs w:val="24"/>
          <w:vertAlign w:val="superscript"/>
          <w:lang w:val="sr-Latn-CS"/>
        </w:rPr>
        <w:t>3</w:t>
      </w:r>
      <w:r w:rsidR="00C16CF4" w:rsidRPr="002A0BEE">
        <w:rPr>
          <w:rFonts w:asciiTheme="majorHAnsi" w:hAnsiTheme="majorHAnsi" w:cstheme="minorHAnsi"/>
          <w:szCs w:val="24"/>
          <w:lang w:val="sr-Latn-CS"/>
        </w:rPr>
        <w:t xml:space="preserve">, </w:t>
      </w:r>
      <w:r w:rsidR="00C16CF4" w:rsidRPr="002A0BEE">
        <w:rPr>
          <w:rFonts w:asciiTheme="majorHAnsi" w:eastAsia="Times New Roman" w:hAnsiTheme="majorHAnsi" w:cstheme="minorHAnsi"/>
          <w:szCs w:val="24"/>
          <w:lang w:val="sr-Latn-CS"/>
        </w:rPr>
        <w:t>(prosječno ostvarena prodajna cijene jedinice proizvoda u 2014. godini na osnovu akta Zavoda za statistiku, broj: 12-373/2 od 16.02.2015. godine).</w:t>
      </w:r>
    </w:p>
    <w:p w:rsidR="00C13077" w:rsidRPr="002A0BEE" w:rsidRDefault="00C13077" w:rsidP="00C44D89">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Na osnovu usvojenih parametara, tržišna vrijednost rezervi komercijalnog bloka i tombolona arhitektonsko-građevinskog (ukrasnog) kamena prema minimalnom godišnjem kapacitetu za 30 godina iznosi: </w:t>
      </w:r>
    </w:p>
    <w:p w:rsidR="009248F4" w:rsidRPr="002A0BEE" w:rsidRDefault="009B6297" w:rsidP="00C44D89">
      <w:pPr>
        <w:jc w:val="both"/>
        <w:rPr>
          <w:rFonts w:asciiTheme="majorHAnsi" w:hAnsiTheme="majorHAnsi" w:cstheme="minorHAnsi"/>
          <w:b/>
          <w:szCs w:val="24"/>
          <w:lang w:val="sr-Latn-CS"/>
        </w:rPr>
      </w:pPr>
      <w:r w:rsidRPr="002A0BEE">
        <w:rPr>
          <w:rFonts w:asciiTheme="majorHAnsi" w:hAnsiTheme="majorHAnsi" w:cstheme="minorHAnsi"/>
          <w:b/>
          <w:szCs w:val="24"/>
          <w:lang w:val="sr-Latn-CS"/>
        </w:rPr>
        <w:t>VP</w:t>
      </w:r>
      <w:r w:rsidR="00B54BFD" w:rsidRPr="002A0BEE">
        <w:rPr>
          <w:rFonts w:asciiTheme="majorHAnsi" w:hAnsiTheme="majorHAnsi" w:cstheme="minorHAnsi"/>
          <w:b/>
          <w:szCs w:val="24"/>
          <w:lang w:val="sr-Latn-CS"/>
        </w:rPr>
        <w:t xml:space="preserve"> </w:t>
      </w:r>
      <w:r w:rsidRPr="002A0BEE">
        <w:rPr>
          <w:rFonts w:asciiTheme="majorHAnsi" w:hAnsiTheme="majorHAnsi" w:cstheme="minorHAnsi"/>
          <w:b/>
          <w:szCs w:val="24"/>
          <w:lang w:val="sr-Latn-CS"/>
        </w:rPr>
        <w:t xml:space="preserve">= </w:t>
      </w:r>
      <w:r w:rsidR="002279AB" w:rsidRPr="002A0BEE">
        <w:rPr>
          <w:rFonts w:asciiTheme="majorHAnsi" w:hAnsiTheme="majorHAnsi" w:cstheme="minorHAnsi"/>
          <w:b/>
          <w:szCs w:val="24"/>
          <w:lang w:val="sr-Latn-CS"/>
        </w:rPr>
        <w:t>60</w:t>
      </w:r>
      <w:r w:rsidR="009248F4" w:rsidRPr="002A0BEE">
        <w:rPr>
          <w:rFonts w:asciiTheme="majorHAnsi" w:hAnsiTheme="majorHAnsi" w:cstheme="minorHAnsi"/>
          <w:b/>
          <w:szCs w:val="24"/>
          <w:lang w:val="sr-Latn-CS"/>
        </w:rPr>
        <w:t>.000 m</w:t>
      </w:r>
      <w:r w:rsidR="009248F4" w:rsidRPr="002A0BEE">
        <w:rPr>
          <w:rFonts w:asciiTheme="majorHAnsi" w:hAnsiTheme="majorHAnsi" w:cstheme="minorHAnsi"/>
          <w:b/>
          <w:szCs w:val="24"/>
          <w:vertAlign w:val="superscript"/>
          <w:lang w:val="sr-Latn-CS"/>
        </w:rPr>
        <w:t>3</w:t>
      </w:r>
      <w:r w:rsidR="009248F4" w:rsidRPr="002A0BEE">
        <w:rPr>
          <w:rFonts w:asciiTheme="majorHAnsi" w:hAnsiTheme="majorHAnsi" w:cstheme="minorHAnsi"/>
          <w:b/>
          <w:szCs w:val="24"/>
          <w:lang w:val="sr-Latn-CS"/>
        </w:rPr>
        <w:t xml:space="preserve"> x 335,00 €/m</w:t>
      </w:r>
      <w:r w:rsidR="009248F4" w:rsidRPr="002A0BEE">
        <w:rPr>
          <w:rFonts w:asciiTheme="majorHAnsi" w:hAnsiTheme="majorHAnsi" w:cstheme="minorHAnsi"/>
          <w:b/>
          <w:szCs w:val="24"/>
          <w:vertAlign w:val="superscript"/>
          <w:lang w:val="sr-Latn-CS"/>
        </w:rPr>
        <w:t xml:space="preserve">3 </w:t>
      </w:r>
      <w:r w:rsidRPr="002A0BEE">
        <w:rPr>
          <w:rFonts w:asciiTheme="majorHAnsi" w:hAnsiTheme="majorHAnsi" w:cstheme="minorHAnsi"/>
          <w:b/>
          <w:szCs w:val="24"/>
          <w:lang w:val="sr-Latn-CS"/>
        </w:rPr>
        <w:t xml:space="preserve">= </w:t>
      </w:r>
      <w:r w:rsidR="002279AB" w:rsidRPr="002A0BEE">
        <w:rPr>
          <w:rFonts w:asciiTheme="majorHAnsi" w:hAnsiTheme="majorHAnsi" w:cstheme="minorHAnsi"/>
          <w:b/>
          <w:szCs w:val="24"/>
          <w:lang w:val="sr-Latn-CS"/>
        </w:rPr>
        <w:t>20.100</w:t>
      </w:r>
      <w:r w:rsidRPr="002A0BEE">
        <w:rPr>
          <w:rFonts w:asciiTheme="majorHAnsi" w:hAnsiTheme="majorHAnsi" w:cstheme="minorHAnsi"/>
          <w:b/>
          <w:szCs w:val="24"/>
          <w:lang w:val="sr-Latn-CS"/>
        </w:rPr>
        <w:t xml:space="preserve">.000,00 € ili </w:t>
      </w:r>
      <w:r w:rsidR="002279AB" w:rsidRPr="002A0BEE">
        <w:rPr>
          <w:rFonts w:asciiTheme="majorHAnsi" w:hAnsiTheme="majorHAnsi" w:cstheme="minorHAnsi"/>
          <w:b/>
          <w:szCs w:val="24"/>
          <w:lang w:val="sr-Latn-CS"/>
        </w:rPr>
        <w:t>670.000</w:t>
      </w:r>
      <w:r w:rsidR="009248F4" w:rsidRPr="002A0BEE">
        <w:rPr>
          <w:rFonts w:asciiTheme="majorHAnsi" w:hAnsiTheme="majorHAnsi" w:cstheme="minorHAnsi"/>
          <w:b/>
          <w:szCs w:val="24"/>
          <w:lang w:val="sr-Latn-CS"/>
        </w:rPr>
        <w:t>,00 €/godišnje.</w:t>
      </w:r>
    </w:p>
    <w:p w:rsidR="00FF6BAC" w:rsidRPr="002A0BEE" w:rsidRDefault="00FF6BAC" w:rsidP="00C44D89">
      <w:pPr>
        <w:jc w:val="both"/>
        <w:rPr>
          <w:rFonts w:asciiTheme="majorHAnsi" w:hAnsiTheme="majorHAnsi" w:cstheme="minorHAnsi"/>
          <w:b/>
          <w:szCs w:val="24"/>
          <w:lang w:val="sr-Latn-CS"/>
        </w:rPr>
      </w:pPr>
    </w:p>
    <w:p w:rsidR="00C13077" w:rsidRPr="002A0BEE" w:rsidRDefault="00C13077" w:rsidP="00C44D89">
      <w:pPr>
        <w:jc w:val="both"/>
        <w:rPr>
          <w:rFonts w:asciiTheme="majorHAnsi" w:eastAsia="Times New Roman" w:hAnsiTheme="majorHAnsi" w:cstheme="minorHAnsi"/>
          <w:szCs w:val="24"/>
          <w:lang w:val="sr-Latn-CS"/>
        </w:rPr>
      </w:pPr>
      <w:r w:rsidRPr="002A0BEE">
        <w:rPr>
          <w:rFonts w:asciiTheme="majorHAnsi" w:hAnsiTheme="majorHAnsi" w:cstheme="minorHAnsi"/>
          <w:szCs w:val="24"/>
          <w:lang w:val="sr-Latn-CS"/>
        </w:rPr>
        <w:t xml:space="preserve">Tržišna vrijednost rezervi agregata (čl. 16 Uredbe) utvrđena je u iznosu od </w:t>
      </w:r>
      <w:r w:rsidRPr="002A0BEE">
        <w:rPr>
          <w:rFonts w:asciiTheme="majorHAnsi" w:hAnsiTheme="majorHAnsi" w:cstheme="minorHAnsi"/>
          <w:b/>
          <w:szCs w:val="24"/>
          <w:lang w:val="sr-Latn-CS"/>
        </w:rPr>
        <w:t>26,367 €/m</w:t>
      </w:r>
      <w:r w:rsidRPr="002A0BEE">
        <w:rPr>
          <w:rFonts w:asciiTheme="majorHAnsi" w:hAnsiTheme="majorHAnsi" w:cstheme="minorHAnsi"/>
          <w:b/>
          <w:szCs w:val="24"/>
          <w:vertAlign w:val="superscript"/>
          <w:lang w:val="sr-Latn-CS"/>
        </w:rPr>
        <w:t>3</w:t>
      </w:r>
      <w:r w:rsidRPr="002A0BEE">
        <w:rPr>
          <w:rFonts w:asciiTheme="majorHAnsi" w:hAnsiTheme="majorHAnsi" w:cstheme="minorHAnsi"/>
          <w:szCs w:val="24"/>
          <w:lang w:val="sr-Latn-CS"/>
        </w:rPr>
        <w:t>,</w:t>
      </w:r>
      <w:r w:rsidRPr="002A0BEE">
        <w:rPr>
          <w:rFonts w:asciiTheme="majorHAnsi" w:eastAsia="Times New Roman" w:hAnsiTheme="majorHAnsi" w:cstheme="minorHAnsi"/>
          <w:szCs w:val="24"/>
          <w:lang w:val="sr-Latn-CS"/>
        </w:rPr>
        <w:t xml:space="preserve"> (prosječno ostvarena prodajna cijene jedinice proizvoda u 2014. godini na osnovu akta Zavoda za statistiku, broj: 12-373/2 od 16.02.2015. godine).</w:t>
      </w:r>
    </w:p>
    <w:p w:rsidR="00C13077" w:rsidRPr="002A0BEE" w:rsidRDefault="00C13077" w:rsidP="00C44D89">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Na osnovu usvojenih parametara, tržišna vrijednost agregata prema minimalnom godišnjem kapacitetu za 30 godina iznosi: </w:t>
      </w:r>
    </w:p>
    <w:p w:rsidR="00C13077" w:rsidRPr="002A0BEE" w:rsidRDefault="00C9308D" w:rsidP="00C44D89">
      <w:pPr>
        <w:jc w:val="both"/>
        <w:rPr>
          <w:rFonts w:asciiTheme="majorHAnsi" w:hAnsiTheme="majorHAnsi" w:cstheme="minorHAnsi"/>
          <w:b/>
          <w:szCs w:val="24"/>
          <w:lang w:val="sr-Latn-CS"/>
        </w:rPr>
      </w:pPr>
      <w:r w:rsidRPr="002A0BEE">
        <w:rPr>
          <w:rFonts w:asciiTheme="majorHAnsi" w:hAnsiTheme="majorHAnsi" w:cstheme="minorHAnsi"/>
          <w:b/>
          <w:szCs w:val="24"/>
          <w:lang w:val="sr-Latn-CS"/>
        </w:rPr>
        <w:t>VP</w:t>
      </w:r>
      <w:r w:rsidR="00B54BFD" w:rsidRPr="002A0BEE">
        <w:rPr>
          <w:rFonts w:asciiTheme="majorHAnsi" w:hAnsiTheme="majorHAnsi" w:cstheme="minorHAnsi"/>
          <w:b/>
          <w:szCs w:val="24"/>
          <w:lang w:val="sr-Latn-CS"/>
        </w:rPr>
        <w:t xml:space="preserve"> </w:t>
      </w:r>
      <w:r w:rsidRPr="002A0BEE">
        <w:rPr>
          <w:rFonts w:asciiTheme="majorHAnsi" w:hAnsiTheme="majorHAnsi" w:cstheme="minorHAnsi"/>
          <w:b/>
          <w:szCs w:val="24"/>
          <w:lang w:val="sr-Latn-CS"/>
        </w:rPr>
        <w:t xml:space="preserve">= </w:t>
      </w:r>
      <w:r w:rsidR="002279AB" w:rsidRPr="002A0BEE">
        <w:rPr>
          <w:rFonts w:asciiTheme="majorHAnsi" w:hAnsiTheme="majorHAnsi" w:cstheme="minorHAnsi"/>
          <w:b/>
          <w:szCs w:val="24"/>
          <w:lang w:val="sr-Latn-CS"/>
        </w:rPr>
        <w:t>212.730</w:t>
      </w:r>
      <w:r w:rsidR="00C13077" w:rsidRPr="002A0BEE">
        <w:rPr>
          <w:rFonts w:asciiTheme="majorHAnsi" w:hAnsiTheme="majorHAnsi" w:cstheme="minorHAnsi"/>
          <w:b/>
          <w:szCs w:val="24"/>
          <w:lang w:val="sr-Latn-CS"/>
        </w:rPr>
        <w:t>m</w:t>
      </w:r>
      <w:r w:rsidR="00C13077" w:rsidRPr="002A0BEE">
        <w:rPr>
          <w:rFonts w:asciiTheme="majorHAnsi" w:hAnsiTheme="majorHAnsi" w:cstheme="minorHAnsi"/>
          <w:b/>
          <w:szCs w:val="24"/>
          <w:vertAlign w:val="superscript"/>
          <w:lang w:val="sr-Latn-CS"/>
        </w:rPr>
        <w:t>3</w:t>
      </w:r>
      <w:r w:rsidR="00C13077" w:rsidRPr="002A0BEE">
        <w:rPr>
          <w:rFonts w:asciiTheme="majorHAnsi" w:hAnsiTheme="majorHAnsi" w:cstheme="minorHAnsi"/>
          <w:b/>
          <w:szCs w:val="24"/>
          <w:lang w:val="sr-Latn-CS"/>
        </w:rPr>
        <w:t xml:space="preserve"> x 26</w:t>
      </w:r>
      <w:r w:rsidR="005455D5" w:rsidRPr="002A0BEE">
        <w:rPr>
          <w:rFonts w:asciiTheme="majorHAnsi" w:hAnsiTheme="majorHAnsi" w:cstheme="minorHAnsi"/>
          <w:b/>
          <w:szCs w:val="24"/>
          <w:lang w:val="sr-Latn-CS"/>
        </w:rPr>
        <w:t>,367</w:t>
      </w:r>
      <w:r w:rsidR="00C13077" w:rsidRPr="002A0BEE">
        <w:rPr>
          <w:rFonts w:asciiTheme="majorHAnsi" w:hAnsiTheme="majorHAnsi" w:cstheme="minorHAnsi"/>
          <w:b/>
          <w:szCs w:val="24"/>
          <w:lang w:val="sr-Latn-CS"/>
        </w:rPr>
        <w:t xml:space="preserve"> €/m</w:t>
      </w:r>
      <w:r w:rsidR="00C13077" w:rsidRPr="002A0BEE">
        <w:rPr>
          <w:rFonts w:asciiTheme="majorHAnsi" w:hAnsiTheme="majorHAnsi" w:cstheme="minorHAnsi"/>
          <w:b/>
          <w:szCs w:val="24"/>
          <w:vertAlign w:val="superscript"/>
          <w:lang w:val="sr-Latn-CS"/>
        </w:rPr>
        <w:t xml:space="preserve">3 </w:t>
      </w:r>
      <w:r w:rsidRPr="002A0BEE">
        <w:rPr>
          <w:rFonts w:asciiTheme="majorHAnsi" w:hAnsiTheme="majorHAnsi" w:cstheme="minorHAnsi"/>
          <w:b/>
          <w:szCs w:val="24"/>
          <w:lang w:val="sr-Latn-CS"/>
        </w:rPr>
        <w:t xml:space="preserve">= </w:t>
      </w:r>
      <w:r w:rsidR="00C44D89" w:rsidRPr="002A0BEE">
        <w:rPr>
          <w:rFonts w:asciiTheme="majorHAnsi" w:hAnsiTheme="majorHAnsi" w:cstheme="minorHAnsi"/>
          <w:b/>
          <w:szCs w:val="24"/>
          <w:lang w:val="sr-Latn-CS"/>
        </w:rPr>
        <w:t>5.609.051,91</w:t>
      </w:r>
      <w:r w:rsidR="00C13077" w:rsidRPr="002A0BEE">
        <w:rPr>
          <w:rFonts w:asciiTheme="majorHAnsi" w:hAnsiTheme="majorHAnsi" w:cstheme="minorHAnsi"/>
          <w:b/>
          <w:szCs w:val="24"/>
          <w:lang w:val="sr-Latn-CS"/>
        </w:rPr>
        <w:t xml:space="preserve"> € ili</w:t>
      </w:r>
      <w:r w:rsidRPr="002A0BEE">
        <w:rPr>
          <w:rFonts w:asciiTheme="majorHAnsi" w:hAnsiTheme="majorHAnsi" w:cstheme="minorHAnsi"/>
          <w:b/>
          <w:szCs w:val="24"/>
          <w:lang w:val="sr-Latn-CS"/>
        </w:rPr>
        <w:t xml:space="preserve"> </w:t>
      </w:r>
      <w:r w:rsidR="00C44D89" w:rsidRPr="002A0BEE">
        <w:rPr>
          <w:rFonts w:asciiTheme="majorHAnsi" w:hAnsiTheme="majorHAnsi" w:cstheme="minorHAnsi"/>
          <w:b/>
          <w:szCs w:val="24"/>
          <w:lang w:val="sr-Latn-CS"/>
        </w:rPr>
        <w:t>186.968,40</w:t>
      </w:r>
      <w:r w:rsidR="00C13077" w:rsidRPr="002A0BEE">
        <w:rPr>
          <w:rFonts w:asciiTheme="majorHAnsi" w:hAnsiTheme="majorHAnsi" w:cstheme="minorHAnsi"/>
          <w:b/>
          <w:szCs w:val="24"/>
          <w:lang w:val="sr-Latn-CS"/>
        </w:rPr>
        <w:t xml:space="preserve"> €/godišnje.</w:t>
      </w:r>
    </w:p>
    <w:p w:rsidR="00B56A07" w:rsidRPr="002A0BEE" w:rsidRDefault="00B56A07" w:rsidP="00C44D89">
      <w:pPr>
        <w:jc w:val="both"/>
        <w:rPr>
          <w:rFonts w:asciiTheme="majorHAnsi" w:hAnsiTheme="majorHAnsi" w:cstheme="minorHAnsi"/>
          <w:szCs w:val="24"/>
          <w:lang w:val="sr-Latn-CS"/>
        </w:rPr>
      </w:pPr>
      <w:r w:rsidRPr="002A0BEE">
        <w:rPr>
          <w:rFonts w:asciiTheme="majorHAnsi" w:hAnsiTheme="majorHAnsi" w:cstheme="minorHAnsi"/>
          <w:szCs w:val="24"/>
          <w:lang w:val="sr-Latn-CS"/>
        </w:rPr>
        <w:t>Ukupna tržišna vrijednost rezervi komercijalnog bloka i tombolona arhitektonsko-građevinskog (ukrasnog) kamena i tržišna vrijednost agregata, prema minimalnim godišnjim kapacitetima za 30 godina iznosi</w:t>
      </w:r>
    </w:p>
    <w:p w:rsidR="00B56A07" w:rsidRDefault="00B56A07" w:rsidP="00C44D89">
      <w:pPr>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VP = 20.100.000,00 € + 5.609.051,91 € = </w:t>
      </w:r>
      <w:r w:rsidR="004223FC" w:rsidRPr="002A0BEE">
        <w:rPr>
          <w:rFonts w:asciiTheme="majorHAnsi" w:hAnsiTheme="majorHAnsi" w:cstheme="minorHAnsi"/>
          <w:b/>
          <w:szCs w:val="24"/>
          <w:lang w:val="sr-Latn-CS"/>
        </w:rPr>
        <w:t>25.709.051,91 € odnosno 856.968,40 €/godišnje.</w:t>
      </w:r>
    </w:p>
    <w:p w:rsidR="0021277B" w:rsidRPr="002A0BEE" w:rsidRDefault="0021277B" w:rsidP="00C44D89">
      <w:pPr>
        <w:jc w:val="both"/>
        <w:rPr>
          <w:rFonts w:asciiTheme="majorHAnsi" w:hAnsiTheme="majorHAnsi" w:cstheme="minorHAnsi"/>
          <w:b/>
          <w:szCs w:val="24"/>
          <w:lang w:val="sr-Latn-CS"/>
        </w:rPr>
      </w:pPr>
    </w:p>
    <w:p w:rsidR="009248F4" w:rsidRPr="002A0BEE" w:rsidRDefault="009248F4" w:rsidP="0055031D">
      <w:pPr>
        <w:pStyle w:val="Heading2"/>
        <w:numPr>
          <w:ilvl w:val="2"/>
          <w:numId w:val="47"/>
        </w:numPr>
        <w:spacing w:before="0" w:after="200"/>
        <w:ind w:hanging="1044"/>
        <w:rPr>
          <w:rFonts w:cstheme="minorHAnsi"/>
          <w:szCs w:val="24"/>
          <w:lang w:val="sr-Latn-CS"/>
        </w:rPr>
      </w:pPr>
      <w:bookmarkStart w:id="117" w:name="_Toc390549913"/>
      <w:bookmarkStart w:id="118" w:name="_Toc401959439"/>
      <w:bookmarkStart w:id="119" w:name="_Toc401959532"/>
      <w:bookmarkStart w:id="120" w:name="_Toc435529021"/>
      <w:bookmarkStart w:id="121" w:name="_Toc436124890"/>
      <w:r w:rsidRPr="002A0BEE">
        <w:rPr>
          <w:rFonts w:cstheme="minorHAnsi"/>
          <w:szCs w:val="24"/>
          <w:lang w:val="sr-Latn-CS"/>
        </w:rPr>
        <w:t>Obračun minimalne koncesione naknade</w:t>
      </w:r>
      <w:bookmarkEnd w:id="117"/>
      <w:bookmarkEnd w:id="118"/>
      <w:bookmarkEnd w:id="119"/>
      <w:bookmarkEnd w:id="120"/>
      <w:bookmarkEnd w:id="121"/>
    </w:p>
    <w:p w:rsidR="007F3B66" w:rsidRPr="002A0BEE" w:rsidRDefault="009248F4" w:rsidP="0055031D">
      <w:pPr>
        <w:pStyle w:val="ListParagraph"/>
        <w:numPr>
          <w:ilvl w:val="3"/>
          <w:numId w:val="47"/>
        </w:numPr>
        <w:contextualSpacing w:val="0"/>
        <w:jc w:val="both"/>
        <w:rPr>
          <w:rFonts w:asciiTheme="majorHAnsi" w:hAnsiTheme="majorHAnsi" w:cstheme="minorHAnsi"/>
          <w:szCs w:val="24"/>
          <w:lang w:val="sr-Latn-CS"/>
        </w:rPr>
      </w:pPr>
      <w:r w:rsidRPr="002A0BEE">
        <w:rPr>
          <w:rFonts w:asciiTheme="majorHAnsi" w:hAnsiTheme="majorHAnsi" w:cstheme="minorHAnsi"/>
          <w:b/>
          <w:szCs w:val="24"/>
          <w:lang w:val="sr-Latn-CS"/>
        </w:rPr>
        <w:t>Minimalna koncesiona naknada za eksploataciju</w:t>
      </w:r>
      <w:r w:rsidR="0075460C" w:rsidRPr="002A0BEE">
        <w:rPr>
          <w:rFonts w:asciiTheme="majorHAnsi" w:hAnsiTheme="majorHAnsi" w:cstheme="minorHAnsi"/>
          <w:b/>
          <w:szCs w:val="24"/>
          <w:lang w:val="sr-Latn-CS"/>
        </w:rPr>
        <w:t xml:space="preserve"> arhitektonsko-građevinskog (ukrasnog) kamena</w:t>
      </w:r>
      <w:r w:rsidR="0075460C" w:rsidRPr="002A0BEE">
        <w:rPr>
          <w:rFonts w:asciiTheme="majorHAnsi" w:hAnsiTheme="majorHAnsi" w:cstheme="minorHAnsi"/>
          <w:szCs w:val="24"/>
          <w:lang w:val="sr-Latn-CS"/>
        </w:rPr>
        <w:t xml:space="preserve"> </w:t>
      </w:r>
    </w:p>
    <w:p w:rsidR="009248F4" w:rsidRPr="002A0BEE" w:rsidRDefault="007F3B66" w:rsidP="007F3B66">
      <w:pPr>
        <w:ind w:left="1080"/>
        <w:jc w:val="both"/>
        <w:rPr>
          <w:rFonts w:asciiTheme="majorHAnsi" w:hAnsiTheme="majorHAnsi" w:cstheme="minorHAnsi"/>
          <w:szCs w:val="24"/>
          <w:lang w:val="sr-Latn-CS"/>
        </w:rPr>
      </w:pPr>
      <w:r w:rsidRPr="002A0BEE">
        <w:rPr>
          <w:rFonts w:asciiTheme="majorHAnsi" w:hAnsiTheme="majorHAnsi" w:cstheme="minorHAnsi"/>
          <w:szCs w:val="24"/>
          <w:lang w:val="sr-Latn-CS"/>
        </w:rPr>
        <w:lastRenderedPageBreak/>
        <w:t>Minimalna koncesiona naknada za eksploataciju arhitektonsko-građevinskog (ukrasnog) kamena (</w:t>
      </w:r>
      <w:r w:rsidR="009248F4" w:rsidRPr="002A0BEE">
        <w:rPr>
          <w:rFonts w:asciiTheme="majorHAnsi" w:hAnsiTheme="majorHAnsi" w:cstheme="minorHAnsi"/>
          <w:szCs w:val="24"/>
          <w:lang w:val="sr-Latn-CS"/>
        </w:rPr>
        <w:t>čl. 18 Uredbe) obračunava se po obrascu:</w:t>
      </w:r>
    </w:p>
    <w:p w:rsidR="009248F4" w:rsidRPr="002A0BEE" w:rsidRDefault="009248F4" w:rsidP="00C44D89">
      <w:pPr>
        <w:jc w:val="both"/>
        <w:rPr>
          <w:rFonts w:asciiTheme="majorHAnsi" w:hAnsiTheme="majorHAnsi" w:cstheme="minorHAnsi"/>
          <w:b/>
          <w:szCs w:val="24"/>
          <w:lang w:val="sr-Latn-CS"/>
        </w:rPr>
      </w:pPr>
      <w:r w:rsidRPr="002A0BEE">
        <w:rPr>
          <w:rFonts w:asciiTheme="majorHAnsi" w:hAnsiTheme="majorHAnsi" w:cstheme="minorHAnsi"/>
          <w:b/>
          <w:szCs w:val="24"/>
          <w:lang w:val="sr-Latn-CS"/>
        </w:rPr>
        <w:t>MDN</w:t>
      </w:r>
      <w:r w:rsidR="00B54BFD" w:rsidRPr="002A0BEE">
        <w:rPr>
          <w:rFonts w:asciiTheme="majorHAnsi" w:hAnsiTheme="majorHAnsi" w:cstheme="minorHAnsi"/>
          <w:b/>
          <w:szCs w:val="24"/>
          <w:lang w:val="sr-Latn-CS"/>
        </w:rPr>
        <w:t xml:space="preserve"> </w:t>
      </w:r>
      <w:r w:rsidRPr="002A0BEE">
        <w:rPr>
          <w:rFonts w:asciiTheme="majorHAnsi" w:hAnsiTheme="majorHAnsi" w:cstheme="minorHAnsi"/>
          <w:b/>
          <w:szCs w:val="24"/>
          <w:lang w:val="sr-Latn-CS"/>
        </w:rPr>
        <w:t>= VP x G</w:t>
      </w:r>
    </w:p>
    <w:p w:rsidR="009248F4" w:rsidRPr="002A0BEE" w:rsidRDefault="009248F4" w:rsidP="00C44D89">
      <w:pPr>
        <w:jc w:val="both"/>
        <w:rPr>
          <w:rFonts w:asciiTheme="majorHAnsi" w:hAnsiTheme="majorHAnsi" w:cstheme="minorHAnsi"/>
          <w:szCs w:val="24"/>
          <w:lang w:val="sr-Latn-CS"/>
        </w:rPr>
      </w:pPr>
      <w:r w:rsidRPr="002A0BEE">
        <w:rPr>
          <w:rFonts w:asciiTheme="majorHAnsi" w:hAnsiTheme="majorHAnsi" w:cstheme="minorHAnsi"/>
          <w:szCs w:val="24"/>
          <w:lang w:val="sr-Latn-CS"/>
        </w:rPr>
        <w:t>gdje su:</w:t>
      </w:r>
    </w:p>
    <w:p w:rsidR="009248F4" w:rsidRPr="002A0BEE" w:rsidRDefault="009248F4"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VP</w:t>
      </w:r>
      <w:r w:rsidR="00B54BF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vrije</w:t>
      </w:r>
      <w:r w:rsidR="009B6297" w:rsidRPr="002A0BEE">
        <w:rPr>
          <w:rFonts w:asciiTheme="majorHAnsi" w:hAnsiTheme="majorHAnsi" w:cstheme="minorHAnsi"/>
          <w:szCs w:val="24"/>
          <w:lang w:val="sr-Latn-CS"/>
        </w:rPr>
        <w:t>dnost</w:t>
      </w:r>
      <w:r w:rsidR="0075460C" w:rsidRPr="002A0BEE">
        <w:rPr>
          <w:rFonts w:asciiTheme="majorHAnsi" w:hAnsiTheme="majorHAnsi" w:cstheme="minorHAnsi"/>
          <w:szCs w:val="24"/>
          <w:lang w:val="sr-Latn-CS"/>
        </w:rPr>
        <w:t xml:space="preserve"> proizvodnje = </w:t>
      </w:r>
      <w:r w:rsidR="00F102A8" w:rsidRPr="002A0BEE">
        <w:rPr>
          <w:rFonts w:asciiTheme="majorHAnsi" w:hAnsiTheme="majorHAnsi" w:cstheme="minorHAnsi"/>
          <w:szCs w:val="24"/>
          <w:lang w:val="sr-Latn-CS"/>
        </w:rPr>
        <w:t>20.100.000,00</w:t>
      </w:r>
      <w:r w:rsidR="009B6297" w:rsidRPr="002A0BEE">
        <w:rPr>
          <w:rFonts w:asciiTheme="majorHAnsi" w:hAnsiTheme="majorHAnsi" w:cstheme="minorHAnsi"/>
          <w:szCs w:val="24"/>
          <w:lang w:val="sr-Latn-CS"/>
        </w:rPr>
        <w:t>€ (za period od 3</w:t>
      </w:r>
      <w:r w:rsidRPr="002A0BEE">
        <w:rPr>
          <w:rFonts w:asciiTheme="majorHAnsi" w:hAnsiTheme="majorHAnsi" w:cstheme="minorHAnsi"/>
          <w:szCs w:val="24"/>
          <w:lang w:val="sr-Latn-CS"/>
        </w:rPr>
        <w:t>0 godina)</w:t>
      </w:r>
    </w:p>
    <w:p w:rsidR="009248F4" w:rsidRPr="002A0BEE" w:rsidRDefault="009248F4"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VP</w:t>
      </w:r>
      <w:r w:rsidR="00B54BF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-vrije</w:t>
      </w:r>
      <w:r w:rsidR="005455D5" w:rsidRPr="002A0BEE">
        <w:rPr>
          <w:rFonts w:asciiTheme="majorHAnsi" w:hAnsiTheme="majorHAnsi" w:cstheme="minorHAnsi"/>
          <w:szCs w:val="24"/>
          <w:lang w:val="sr-Latn-CS"/>
        </w:rPr>
        <w:t>dnost godišnje proizvodnj</w:t>
      </w:r>
      <w:r w:rsidR="0075460C" w:rsidRPr="002A0BEE">
        <w:rPr>
          <w:rFonts w:asciiTheme="majorHAnsi" w:hAnsiTheme="majorHAnsi" w:cstheme="minorHAnsi"/>
          <w:szCs w:val="24"/>
          <w:lang w:val="sr-Latn-CS"/>
        </w:rPr>
        <w:t xml:space="preserve">e = </w:t>
      </w:r>
      <w:r w:rsidR="003B5368" w:rsidRPr="002A0BEE">
        <w:rPr>
          <w:rFonts w:asciiTheme="majorHAnsi" w:hAnsiTheme="majorHAnsi" w:cstheme="minorHAnsi"/>
          <w:szCs w:val="24"/>
          <w:lang w:val="sr-Latn-CS"/>
        </w:rPr>
        <w:t>670.000,00</w:t>
      </w:r>
      <w:r w:rsidRPr="002A0BEE">
        <w:rPr>
          <w:rFonts w:asciiTheme="majorHAnsi" w:hAnsiTheme="majorHAnsi" w:cstheme="minorHAnsi"/>
          <w:szCs w:val="24"/>
          <w:lang w:val="sr-Latn-CS"/>
        </w:rPr>
        <w:t xml:space="preserve"> €</w:t>
      </w:r>
    </w:p>
    <w:p w:rsidR="009248F4" w:rsidRPr="002A0BEE" w:rsidRDefault="009248F4" w:rsidP="00C44D89">
      <w:pPr>
        <w:jc w:val="both"/>
        <w:rPr>
          <w:rFonts w:asciiTheme="majorHAnsi" w:hAnsiTheme="majorHAnsi" w:cstheme="minorHAnsi"/>
          <w:szCs w:val="24"/>
          <w:lang w:val="sr-Latn-CS"/>
        </w:rPr>
      </w:pPr>
      <w:r w:rsidRPr="002A0BEE">
        <w:rPr>
          <w:rFonts w:asciiTheme="majorHAnsi" w:hAnsiTheme="majorHAnsi" w:cstheme="minorHAnsi"/>
          <w:szCs w:val="24"/>
          <w:lang w:val="sr-Latn-CS"/>
        </w:rPr>
        <w:t>G</w:t>
      </w:r>
      <w:r w:rsidR="00B54BF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minimalni procentni iznos (7%)</w:t>
      </w:r>
    </w:p>
    <w:p w:rsidR="009248F4" w:rsidRPr="002A0BEE" w:rsidRDefault="009248F4" w:rsidP="002E447F">
      <w:pPr>
        <w:spacing w:after="0"/>
        <w:jc w:val="both"/>
        <w:rPr>
          <w:rFonts w:asciiTheme="majorHAnsi" w:hAnsiTheme="majorHAnsi" w:cstheme="minorHAnsi"/>
          <w:b/>
          <w:szCs w:val="24"/>
          <w:lang w:val="sr-Latn-CS"/>
        </w:rPr>
      </w:pPr>
    </w:p>
    <w:p w:rsidR="009248F4" w:rsidRPr="002A0BEE" w:rsidRDefault="009B6297" w:rsidP="00C44D89">
      <w:pPr>
        <w:jc w:val="both"/>
        <w:rPr>
          <w:rFonts w:asciiTheme="majorHAnsi" w:hAnsiTheme="majorHAnsi" w:cstheme="minorHAnsi"/>
          <w:szCs w:val="24"/>
          <w:lang w:val="sr-Latn-CS"/>
        </w:rPr>
      </w:pPr>
      <w:r w:rsidRPr="002A0BEE">
        <w:rPr>
          <w:rFonts w:asciiTheme="majorHAnsi" w:hAnsiTheme="majorHAnsi" w:cstheme="minorHAnsi"/>
          <w:b/>
          <w:szCs w:val="24"/>
          <w:lang w:val="sr-Latn-CS"/>
        </w:rPr>
        <w:t>MDN</w:t>
      </w:r>
      <w:r w:rsidR="0075460C" w:rsidRPr="002A0BEE">
        <w:rPr>
          <w:rFonts w:asciiTheme="majorHAnsi" w:hAnsiTheme="majorHAnsi" w:cstheme="minorHAnsi"/>
          <w:b/>
          <w:szCs w:val="24"/>
          <w:lang w:val="sr-Latn-CS"/>
        </w:rPr>
        <w:t xml:space="preserve"> = </w:t>
      </w:r>
      <w:r w:rsidR="005455D5" w:rsidRPr="002A0BEE">
        <w:rPr>
          <w:rFonts w:asciiTheme="majorHAnsi" w:hAnsiTheme="majorHAnsi" w:cstheme="minorHAnsi"/>
          <w:b/>
          <w:szCs w:val="24"/>
          <w:lang w:val="sr-Latn-CS"/>
        </w:rPr>
        <w:t xml:space="preserve"> </w:t>
      </w:r>
      <w:r w:rsidR="00F102A8" w:rsidRPr="002A0BEE">
        <w:rPr>
          <w:rFonts w:asciiTheme="majorHAnsi" w:hAnsiTheme="majorHAnsi" w:cstheme="minorHAnsi"/>
          <w:b/>
          <w:szCs w:val="24"/>
          <w:lang w:val="sr-Latn-CS"/>
        </w:rPr>
        <w:t>20.100.000,00</w:t>
      </w:r>
      <w:r w:rsidR="005455D5" w:rsidRPr="002A0BEE">
        <w:rPr>
          <w:rFonts w:asciiTheme="majorHAnsi" w:hAnsiTheme="majorHAnsi" w:cstheme="minorHAnsi"/>
          <w:b/>
          <w:szCs w:val="24"/>
          <w:lang w:val="sr-Latn-CS"/>
        </w:rPr>
        <w:t xml:space="preserve">x 0,07 = </w:t>
      </w:r>
      <w:r w:rsidR="00F102A8" w:rsidRPr="002A0BEE">
        <w:rPr>
          <w:rFonts w:asciiTheme="majorHAnsi" w:hAnsiTheme="majorHAnsi" w:cstheme="minorHAnsi"/>
          <w:b/>
          <w:szCs w:val="24"/>
          <w:lang w:val="sr-Latn-CS"/>
        </w:rPr>
        <w:t>1.407.000</w:t>
      </w:r>
      <w:r w:rsidR="0075460C" w:rsidRPr="002A0BEE">
        <w:rPr>
          <w:rFonts w:asciiTheme="majorHAnsi" w:hAnsiTheme="majorHAnsi" w:cstheme="minorHAnsi"/>
          <w:b/>
          <w:szCs w:val="24"/>
          <w:lang w:val="sr-Latn-CS"/>
        </w:rPr>
        <w:t>,00</w:t>
      </w:r>
      <w:r w:rsidR="009248F4" w:rsidRPr="002A0BEE">
        <w:rPr>
          <w:rFonts w:asciiTheme="majorHAnsi" w:hAnsiTheme="majorHAnsi" w:cstheme="minorHAnsi"/>
          <w:b/>
          <w:szCs w:val="24"/>
          <w:lang w:val="sr-Latn-CS"/>
        </w:rPr>
        <w:t xml:space="preserve"> €</w:t>
      </w:r>
      <w:r w:rsidRPr="002A0BEE">
        <w:rPr>
          <w:rFonts w:asciiTheme="majorHAnsi" w:hAnsiTheme="majorHAnsi" w:cstheme="minorHAnsi"/>
          <w:szCs w:val="24"/>
          <w:lang w:val="sr-Latn-CS"/>
        </w:rPr>
        <w:t xml:space="preserve"> (ukupno za period od 3</w:t>
      </w:r>
      <w:r w:rsidR="009248F4" w:rsidRPr="002A0BEE">
        <w:rPr>
          <w:rFonts w:asciiTheme="majorHAnsi" w:hAnsiTheme="majorHAnsi" w:cstheme="minorHAnsi"/>
          <w:szCs w:val="24"/>
          <w:lang w:val="sr-Latn-CS"/>
        </w:rPr>
        <w:t>0 godina)</w:t>
      </w:r>
    </w:p>
    <w:p w:rsidR="009248F4" w:rsidRPr="002A0BEE" w:rsidRDefault="009B6297" w:rsidP="00C44D89">
      <w:pPr>
        <w:jc w:val="both"/>
        <w:rPr>
          <w:rFonts w:asciiTheme="majorHAnsi" w:hAnsiTheme="majorHAnsi" w:cstheme="minorHAnsi"/>
          <w:b/>
          <w:szCs w:val="24"/>
          <w:lang w:val="sr-Latn-CS"/>
        </w:rPr>
      </w:pPr>
      <w:r w:rsidRPr="002A0BEE">
        <w:rPr>
          <w:rFonts w:asciiTheme="majorHAnsi" w:hAnsiTheme="majorHAnsi" w:cstheme="minorHAnsi"/>
          <w:b/>
          <w:szCs w:val="24"/>
          <w:lang w:val="sr-Latn-CS"/>
        </w:rPr>
        <w:t>MDN</w:t>
      </w:r>
      <w:r w:rsidR="0075460C" w:rsidRPr="002A0BEE">
        <w:rPr>
          <w:rFonts w:asciiTheme="majorHAnsi" w:hAnsiTheme="majorHAnsi" w:cstheme="minorHAnsi"/>
          <w:b/>
          <w:szCs w:val="24"/>
          <w:lang w:val="sr-Latn-CS"/>
        </w:rPr>
        <w:t xml:space="preserve"> = </w:t>
      </w:r>
      <w:r w:rsidR="003B5368" w:rsidRPr="002A0BEE">
        <w:rPr>
          <w:rFonts w:asciiTheme="majorHAnsi" w:hAnsiTheme="majorHAnsi" w:cstheme="minorHAnsi"/>
          <w:b/>
          <w:szCs w:val="24"/>
          <w:lang w:val="sr-Latn-CS"/>
        </w:rPr>
        <w:t>670.000,00</w:t>
      </w:r>
      <w:r w:rsidR="0075460C" w:rsidRPr="002A0BEE">
        <w:rPr>
          <w:rFonts w:asciiTheme="majorHAnsi" w:hAnsiTheme="majorHAnsi" w:cstheme="minorHAnsi"/>
          <w:b/>
          <w:szCs w:val="24"/>
          <w:lang w:val="sr-Latn-CS"/>
        </w:rPr>
        <w:t xml:space="preserve"> x 0,07</w:t>
      </w:r>
      <w:r w:rsidR="005455D5" w:rsidRPr="002A0BEE">
        <w:rPr>
          <w:rFonts w:asciiTheme="majorHAnsi" w:hAnsiTheme="majorHAnsi" w:cstheme="minorHAnsi"/>
          <w:b/>
          <w:szCs w:val="24"/>
          <w:lang w:val="sr-Latn-CS"/>
        </w:rPr>
        <w:t xml:space="preserve"> = </w:t>
      </w:r>
      <w:r w:rsidR="003B5368" w:rsidRPr="002A0BEE">
        <w:rPr>
          <w:rFonts w:asciiTheme="majorHAnsi" w:hAnsiTheme="majorHAnsi" w:cstheme="minorHAnsi"/>
          <w:b/>
          <w:szCs w:val="24"/>
          <w:lang w:val="sr-Latn-CS"/>
        </w:rPr>
        <w:t>46.900</w:t>
      </w:r>
      <w:r w:rsidR="0075460C" w:rsidRPr="002A0BEE">
        <w:rPr>
          <w:rFonts w:asciiTheme="majorHAnsi" w:hAnsiTheme="majorHAnsi" w:cstheme="minorHAnsi"/>
          <w:b/>
          <w:szCs w:val="24"/>
          <w:lang w:val="sr-Latn-CS"/>
        </w:rPr>
        <w:t>,00</w:t>
      </w:r>
      <w:r w:rsidR="009248F4" w:rsidRPr="002A0BEE">
        <w:rPr>
          <w:rFonts w:asciiTheme="majorHAnsi" w:hAnsiTheme="majorHAnsi" w:cstheme="minorHAnsi"/>
          <w:b/>
          <w:szCs w:val="24"/>
          <w:lang w:val="sr-Latn-CS"/>
        </w:rPr>
        <w:t xml:space="preserve"> €/godišnje.</w:t>
      </w:r>
    </w:p>
    <w:p w:rsidR="009248F4" w:rsidRPr="002A0BEE" w:rsidRDefault="009248F4" w:rsidP="00C44D89">
      <w:pPr>
        <w:jc w:val="both"/>
        <w:rPr>
          <w:rFonts w:asciiTheme="majorHAnsi" w:hAnsiTheme="majorHAnsi" w:cstheme="minorHAnsi"/>
          <w:szCs w:val="24"/>
          <w:lang w:val="sr-Latn-CS"/>
        </w:rPr>
      </w:pPr>
      <w:r w:rsidRPr="002A0BEE">
        <w:rPr>
          <w:rFonts w:asciiTheme="majorHAnsi" w:hAnsiTheme="majorHAnsi" w:cstheme="minorHAnsi"/>
          <w:szCs w:val="24"/>
          <w:lang w:val="sr-Latn-CS"/>
        </w:rPr>
        <w:t>Koncesiona naknada (čl. 19 Uredbe) za eksploataciju mineralne sirovine sastoji se iz stalnog (SDN) (nepromjenjivog) i promjenjivog (PDN) dijela naknade.</w:t>
      </w:r>
    </w:p>
    <w:p w:rsidR="009248F4" w:rsidRPr="002A0BEE" w:rsidRDefault="009248F4" w:rsidP="00C44D89">
      <w:pPr>
        <w:jc w:val="both"/>
        <w:rPr>
          <w:rFonts w:asciiTheme="majorHAnsi" w:hAnsiTheme="majorHAnsi" w:cstheme="minorHAnsi"/>
          <w:b/>
          <w:szCs w:val="24"/>
          <w:lang w:val="sr-Latn-CS"/>
        </w:rPr>
      </w:pPr>
      <w:r w:rsidRPr="002A0BEE">
        <w:rPr>
          <w:rFonts w:asciiTheme="majorHAnsi" w:hAnsiTheme="majorHAnsi" w:cstheme="minorHAnsi"/>
          <w:b/>
          <w:szCs w:val="24"/>
          <w:lang w:val="sr-Latn-CS"/>
        </w:rPr>
        <w:t>Obračuna</w:t>
      </w:r>
      <w:r w:rsidR="0075460C" w:rsidRPr="002A0BEE">
        <w:rPr>
          <w:rFonts w:asciiTheme="majorHAnsi" w:hAnsiTheme="majorHAnsi" w:cstheme="minorHAnsi"/>
          <w:b/>
          <w:szCs w:val="24"/>
          <w:lang w:val="sr-Latn-CS"/>
        </w:rPr>
        <w:t xml:space="preserve">ta minimalna koncesiona naknada za eksploataciju arhitektonsko-građevinskog (ukrasnog) </w:t>
      </w:r>
      <w:r w:rsidR="00B54BFD" w:rsidRPr="002A0BEE">
        <w:rPr>
          <w:rFonts w:asciiTheme="majorHAnsi" w:hAnsiTheme="majorHAnsi" w:cstheme="minorHAnsi"/>
          <w:b/>
          <w:szCs w:val="24"/>
          <w:lang w:val="sr-Latn-CS"/>
        </w:rPr>
        <w:t xml:space="preserve">kamena </w:t>
      </w:r>
      <w:r w:rsidRPr="002A0BEE">
        <w:rPr>
          <w:rFonts w:asciiTheme="majorHAnsi" w:hAnsiTheme="majorHAnsi" w:cstheme="minorHAnsi"/>
          <w:b/>
          <w:szCs w:val="24"/>
          <w:lang w:val="sr-Latn-CS"/>
        </w:rPr>
        <w:t>predstavlja minimalni iznos stalnog (nepromjenjivog) dijela koncesione naknade:</w:t>
      </w:r>
    </w:p>
    <w:p w:rsidR="009248F4" w:rsidRPr="002A0BEE" w:rsidRDefault="009B6297" w:rsidP="002E447F">
      <w:pPr>
        <w:pStyle w:val="ListParagraph"/>
        <w:numPr>
          <w:ilvl w:val="0"/>
          <w:numId w:val="14"/>
        </w:numPr>
        <w:spacing w:after="0"/>
        <w:jc w:val="both"/>
        <w:rPr>
          <w:rFonts w:asciiTheme="majorHAnsi" w:hAnsiTheme="majorHAnsi" w:cstheme="minorHAnsi"/>
          <w:szCs w:val="24"/>
          <w:lang w:val="sr-Latn-CS"/>
        </w:rPr>
      </w:pPr>
      <w:r w:rsidRPr="002A0BEE">
        <w:rPr>
          <w:rFonts w:asciiTheme="majorHAnsi" w:hAnsiTheme="majorHAnsi" w:cstheme="minorHAnsi"/>
          <w:b/>
          <w:szCs w:val="24"/>
          <w:lang w:val="sr-Latn-CS"/>
        </w:rPr>
        <w:t xml:space="preserve">za period od 30 godina SDN = </w:t>
      </w:r>
      <w:r w:rsidR="003B5368" w:rsidRPr="002A0BEE">
        <w:rPr>
          <w:rFonts w:asciiTheme="majorHAnsi" w:hAnsiTheme="majorHAnsi" w:cstheme="minorHAnsi"/>
          <w:b/>
          <w:szCs w:val="24"/>
          <w:lang w:val="sr-Latn-CS"/>
        </w:rPr>
        <w:t>1.407.000,00</w:t>
      </w:r>
      <w:r w:rsidR="009248F4" w:rsidRPr="002A0BEE">
        <w:rPr>
          <w:rFonts w:asciiTheme="majorHAnsi" w:hAnsiTheme="majorHAnsi" w:cstheme="minorHAnsi"/>
          <w:b/>
          <w:szCs w:val="24"/>
          <w:lang w:val="sr-Latn-CS"/>
        </w:rPr>
        <w:t xml:space="preserve"> €</w:t>
      </w:r>
      <w:r w:rsidR="009248F4" w:rsidRPr="002A0BEE">
        <w:rPr>
          <w:rFonts w:asciiTheme="majorHAnsi" w:hAnsiTheme="majorHAnsi" w:cstheme="minorHAnsi"/>
          <w:szCs w:val="24"/>
          <w:lang w:val="sr-Latn-CS"/>
        </w:rPr>
        <w:t xml:space="preserve"> </w:t>
      </w:r>
    </w:p>
    <w:p w:rsidR="009248F4" w:rsidRPr="002A0BEE" w:rsidRDefault="009B6297" w:rsidP="00C44D89">
      <w:pPr>
        <w:pStyle w:val="ListParagraph"/>
        <w:numPr>
          <w:ilvl w:val="0"/>
          <w:numId w:val="14"/>
        </w:numPr>
        <w:contextualSpacing w:val="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SDN (godišnje) = </w:t>
      </w:r>
      <w:r w:rsidR="003B5368" w:rsidRPr="002A0BEE">
        <w:rPr>
          <w:rFonts w:asciiTheme="majorHAnsi" w:hAnsiTheme="majorHAnsi" w:cstheme="minorHAnsi"/>
          <w:b/>
          <w:szCs w:val="24"/>
          <w:lang w:val="sr-Latn-CS"/>
        </w:rPr>
        <w:t>46.900,00</w:t>
      </w:r>
      <w:r w:rsidR="009248F4" w:rsidRPr="002A0BEE">
        <w:rPr>
          <w:rFonts w:asciiTheme="majorHAnsi" w:hAnsiTheme="majorHAnsi" w:cstheme="minorHAnsi"/>
          <w:b/>
          <w:szCs w:val="24"/>
          <w:lang w:val="sr-Latn-CS"/>
        </w:rPr>
        <w:t xml:space="preserve"> €.</w:t>
      </w:r>
    </w:p>
    <w:p w:rsidR="0075460C" w:rsidRPr="002A0BEE" w:rsidRDefault="0075460C" w:rsidP="002E447F">
      <w:pPr>
        <w:spacing w:after="0"/>
        <w:jc w:val="both"/>
        <w:rPr>
          <w:rFonts w:asciiTheme="majorHAnsi" w:hAnsiTheme="majorHAnsi" w:cstheme="minorHAnsi"/>
          <w:b/>
          <w:szCs w:val="24"/>
          <w:lang w:val="sr-Latn-CS"/>
        </w:rPr>
      </w:pPr>
    </w:p>
    <w:p w:rsidR="003B5368" w:rsidRPr="002A0BEE" w:rsidRDefault="0075460C" w:rsidP="0055031D">
      <w:pPr>
        <w:pStyle w:val="ListParagraph"/>
        <w:numPr>
          <w:ilvl w:val="3"/>
          <w:numId w:val="38"/>
        </w:numPr>
        <w:contextualSpacing w:val="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Minimalna koncesiona naknada za eksploataciju tehničko-građevinskog kamena </w:t>
      </w:r>
    </w:p>
    <w:p w:rsidR="0075460C" w:rsidRPr="002A0BEE" w:rsidRDefault="003B5368" w:rsidP="003B5368">
      <w:pPr>
        <w:ind w:left="36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Minimalna koncesiona naknada za eksploataciju tehničko-građevinskog kamena </w:t>
      </w:r>
      <w:r w:rsidR="0075460C" w:rsidRPr="002A0BEE">
        <w:rPr>
          <w:rFonts w:asciiTheme="majorHAnsi" w:hAnsiTheme="majorHAnsi" w:cstheme="minorHAnsi"/>
          <w:szCs w:val="24"/>
          <w:lang w:val="sr-Latn-CS"/>
        </w:rPr>
        <w:t>(čl. 18 Uredbe) obračunava se po obrascu:</w:t>
      </w:r>
    </w:p>
    <w:p w:rsidR="0075460C" w:rsidRPr="002A0BEE" w:rsidRDefault="0075460C" w:rsidP="00C44D89">
      <w:pPr>
        <w:jc w:val="both"/>
        <w:rPr>
          <w:rFonts w:asciiTheme="majorHAnsi" w:hAnsiTheme="majorHAnsi" w:cstheme="minorHAnsi"/>
          <w:b/>
          <w:szCs w:val="24"/>
          <w:lang w:val="sr-Latn-CS"/>
        </w:rPr>
      </w:pPr>
      <w:r w:rsidRPr="002A0BEE">
        <w:rPr>
          <w:rFonts w:asciiTheme="majorHAnsi" w:hAnsiTheme="majorHAnsi" w:cstheme="minorHAnsi"/>
          <w:b/>
          <w:szCs w:val="24"/>
          <w:lang w:val="sr-Latn-CS"/>
        </w:rPr>
        <w:t>MDN= VP x G</w:t>
      </w:r>
    </w:p>
    <w:p w:rsidR="0075460C" w:rsidRPr="002A0BEE" w:rsidRDefault="0075460C" w:rsidP="00C44D89">
      <w:pPr>
        <w:jc w:val="both"/>
        <w:rPr>
          <w:rFonts w:asciiTheme="majorHAnsi" w:hAnsiTheme="majorHAnsi" w:cstheme="minorHAnsi"/>
          <w:szCs w:val="24"/>
          <w:lang w:val="sr-Latn-CS"/>
        </w:rPr>
      </w:pPr>
      <w:r w:rsidRPr="002A0BEE">
        <w:rPr>
          <w:rFonts w:asciiTheme="majorHAnsi" w:hAnsiTheme="majorHAnsi" w:cstheme="minorHAnsi"/>
          <w:szCs w:val="24"/>
          <w:lang w:val="sr-Latn-CS"/>
        </w:rPr>
        <w:t>gdje su:</w:t>
      </w:r>
    </w:p>
    <w:p w:rsidR="0075460C" w:rsidRPr="002A0BEE" w:rsidRDefault="0075460C"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VP</w:t>
      </w:r>
      <w:r w:rsidR="00B54BF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vrijednost proizvodnje agre</w:t>
      </w:r>
      <w:r w:rsidR="00C9308D" w:rsidRPr="002A0BEE">
        <w:rPr>
          <w:rFonts w:asciiTheme="majorHAnsi" w:hAnsiTheme="majorHAnsi" w:cstheme="minorHAnsi"/>
          <w:szCs w:val="24"/>
          <w:lang w:val="sr-Latn-CS"/>
        </w:rPr>
        <w:t xml:space="preserve">gata = </w:t>
      </w:r>
      <w:r w:rsidR="003B5368" w:rsidRPr="002A0BEE">
        <w:rPr>
          <w:rFonts w:asciiTheme="majorHAnsi" w:hAnsiTheme="majorHAnsi" w:cstheme="minorHAnsi"/>
          <w:szCs w:val="24"/>
          <w:lang w:val="sr-Latn-CS"/>
        </w:rPr>
        <w:t>5.609.051,91</w:t>
      </w:r>
      <w:r w:rsidRPr="002A0BEE">
        <w:rPr>
          <w:rFonts w:asciiTheme="majorHAnsi" w:hAnsiTheme="majorHAnsi" w:cstheme="minorHAnsi"/>
          <w:szCs w:val="24"/>
          <w:lang w:val="sr-Latn-CS"/>
        </w:rPr>
        <w:t xml:space="preserve"> € (za period od 30 godina)</w:t>
      </w:r>
    </w:p>
    <w:p w:rsidR="0075460C" w:rsidRPr="002A0BEE" w:rsidRDefault="0075460C"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VP</w:t>
      </w:r>
      <w:r w:rsidR="00B54BF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-vrijednost godišnje proizvodnj</w:t>
      </w:r>
      <w:r w:rsidR="00C9308D" w:rsidRPr="002A0BEE">
        <w:rPr>
          <w:rFonts w:asciiTheme="majorHAnsi" w:hAnsiTheme="majorHAnsi" w:cstheme="minorHAnsi"/>
          <w:szCs w:val="24"/>
          <w:lang w:val="sr-Latn-CS"/>
        </w:rPr>
        <w:t xml:space="preserve">e = </w:t>
      </w:r>
      <w:r w:rsidR="003B5368" w:rsidRPr="002A0BEE">
        <w:rPr>
          <w:rFonts w:asciiTheme="majorHAnsi" w:hAnsiTheme="majorHAnsi" w:cstheme="minorHAnsi"/>
          <w:szCs w:val="24"/>
          <w:lang w:val="sr-Latn-CS"/>
        </w:rPr>
        <w:t>186.968,40</w:t>
      </w:r>
      <w:r w:rsidRPr="002A0BEE">
        <w:rPr>
          <w:rFonts w:asciiTheme="majorHAnsi" w:hAnsiTheme="majorHAnsi" w:cstheme="minorHAnsi"/>
          <w:szCs w:val="24"/>
          <w:lang w:val="sr-Latn-CS"/>
        </w:rPr>
        <w:t xml:space="preserve"> €</w:t>
      </w:r>
    </w:p>
    <w:p w:rsidR="0075460C" w:rsidRPr="002A0BEE" w:rsidRDefault="0075460C"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G</w:t>
      </w:r>
      <w:r w:rsidR="00B54BFD"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minimalni procentni iznos (7%)</w:t>
      </w:r>
    </w:p>
    <w:p w:rsidR="0075460C" w:rsidRPr="002A0BEE" w:rsidRDefault="0075460C" w:rsidP="00347B57">
      <w:pPr>
        <w:jc w:val="both"/>
        <w:rPr>
          <w:rFonts w:asciiTheme="majorHAnsi" w:hAnsiTheme="majorHAnsi" w:cstheme="minorHAnsi"/>
          <w:szCs w:val="24"/>
          <w:lang w:val="sr-Latn-CS"/>
        </w:rPr>
      </w:pPr>
      <w:r w:rsidRPr="002A0BEE">
        <w:rPr>
          <w:rFonts w:asciiTheme="majorHAnsi" w:hAnsiTheme="majorHAnsi" w:cstheme="minorHAnsi"/>
          <w:b/>
          <w:szCs w:val="24"/>
          <w:lang w:val="sr-Latn-CS"/>
        </w:rPr>
        <w:t xml:space="preserve">MDN =  </w:t>
      </w:r>
      <w:r w:rsidR="003B5368" w:rsidRPr="002A0BEE">
        <w:rPr>
          <w:rFonts w:asciiTheme="majorHAnsi" w:hAnsiTheme="majorHAnsi" w:cstheme="minorHAnsi"/>
          <w:b/>
          <w:szCs w:val="24"/>
          <w:lang w:val="sr-Latn-CS"/>
        </w:rPr>
        <w:t>5.609.051,91</w:t>
      </w:r>
      <w:r w:rsidRPr="002A0BEE">
        <w:rPr>
          <w:rFonts w:asciiTheme="majorHAnsi" w:hAnsiTheme="majorHAnsi" w:cstheme="minorHAnsi"/>
          <w:b/>
          <w:szCs w:val="24"/>
          <w:lang w:val="sr-Latn-CS"/>
        </w:rPr>
        <w:t xml:space="preserve"> x 0,07 =  </w:t>
      </w:r>
      <w:r w:rsidR="003B5368" w:rsidRPr="002A0BEE">
        <w:rPr>
          <w:rFonts w:asciiTheme="majorHAnsi" w:hAnsiTheme="majorHAnsi" w:cstheme="minorHAnsi"/>
          <w:b/>
          <w:szCs w:val="24"/>
          <w:lang w:val="sr-Latn-CS"/>
        </w:rPr>
        <w:t>392.633,63</w:t>
      </w:r>
      <w:r w:rsidR="00C9308D" w:rsidRPr="002A0BEE">
        <w:rPr>
          <w:rFonts w:asciiTheme="majorHAnsi" w:hAnsiTheme="majorHAnsi" w:cstheme="minorHAnsi"/>
          <w:b/>
          <w:szCs w:val="24"/>
          <w:lang w:val="sr-Latn-CS"/>
        </w:rPr>
        <w:t xml:space="preserve"> </w:t>
      </w:r>
      <w:r w:rsidRPr="002A0BEE">
        <w:rPr>
          <w:rFonts w:asciiTheme="majorHAnsi" w:hAnsiTheme="majorHAnsi" w:cstheme="minorHAnsi"/>
          <w:b/>
          <w:szCs w:val="24"/>
          <w:lang w:val="sr-Latn-CS"/>
        </w:rPr>
        <w:t>€</w:t>
      </w:r>
      <w:r w:rsidRPr="002A0BEE">
        <w:rPr>
          <w:rFonts w:asciiTheme="majorHAnsi" w:hAnsiTheme="majorHAnsi" w:cstheme="minorHAnsi"/>
          <w:szCs w:val="24"/>
          <w:lang w:val="sr-Latn-CS"/>
        </w:rPr>
        <w:t xml:space="preserve"> (ukupno za period od 30 godina)</w:t>
      </w:r>
    </w:p>
    <w:p w:rsidR="0075460C" w:rsidRPr="002A0BEE" w:rsidRDefault="0075460C" w:rsidP="00347B57">
      <w:pPr>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MDN = </w:t>
      </w:r>
      <w:r w:rsidR="00C9308D" w:rsidRPr="002A0BEE">
        <w:rPr>
          <w:rFonts w:asciiTheme="majorHAnsi" w:hAnsiTheme="majorHAnsi" w:cstheme="minorHAnsi"/>
          <w:b/>
          <w:szCs w:val="24"/>
          <w:lang w:val="sr-Latn-CS"/>
        </w:rPr>
        <w:t xml:space="preserve"> </w:t>
      </w:r>
      <w:r w:rsidR="003B5368" w:rsidRPr="002A0BEE">
        <w:rPr>
          <w:rFonts w:asciiTheme="majorHAnsi" w:hAnsiTheme="majorHAnsi" w:cstheme="minorHAnsi"/>
          <w:b/>
          <w:szCs w:val="24"/>
          <w:lang w:val="sr-Latn-CS"/>
        </w:rPr>
        <w:t>186.968,40</w:t>
      </w:r>
      <w:r w:rsidRPr="002A0BEE">
        <w:rPr>
          <w:rFonts w:asciiTheme="majorHAnsi" w:hAnsiTheme="majorHAnsi" w:cstheme="minorHAnsi"/>
          <w:b/>
          <w:szCs w:val="24"/>
          <w:lang w:val="sr-Latn-CS"/>
        </w:rPr>
        <w:t xml:space="preserve"> x 0,07 = </w:t>
      </w:r>
      <w:r w:rsidR="003B5368" w:rsidRPr="002A0BEE">
        <w:rPr>
          <w:rFonts w:asciiTheme="majorHAnsi" w:hAnsiTheme="majorHAnsi" w:cstheme="minorHAnsi"/>
          <w:b/>
          <w:szCs w:val="24"/>
          <w:lang w:val="sr-Latn-CS"/>
        </w:rPr>
        <w:t>13.087,80</w:t>
      </w:r>
      <w:r w:rsidRPr="002A0BEE">
        <w:rPr>
          <w:rFonts w:asciiTheme="majorHAnsi" w:hAnsiTheme="majorHAnsi" w:cstheme="minorHAnsi"/>
          <w:b/>
          <w:szCs w:val="24"/>
          <w:lang w:val="sr-Latn-CS"/>
        </w:rPr>
        <w:t xml:space="preserve"> €/godišnje.</w:t>
      </w:r>
    </w:p>
    <w:p w:rsidR="0075460C" w:rsidRPr="002A0BEE" w:rsidRDefault="0075460C"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lastRenderedPageBreak/>
        <w:t>Koncesiona naknada (čl. 19 Uredbe) za eksploataciju mineralne sirovine sastoji se iz stalnog (SDN) (nepromjenjivog) i promjenjivog (PDN) dijela naknade.</w:t>
      </w:r>
    </w:p>
    <w:p w:rsidR="0075460C" w:rsidRPr="002A0BEE" w:rsidRDefault="0075460C" w:rsidP="00347B57">
      <w:pPr>
        <w:jc w:val="both"/>
        <w:rPr>
          <w:rFonts w:asciiTheme="majorHAnsi" w:hAnsiTheme="majorHAnsi" w:cstheme="minorHAnsi"/>
          <w:b/>
          <w:szCs w:val="24"/>
          <w:lang w:val="sr-Latn-CS"/>
        </w:rPr>
      </w:pPr>
      <w:r w:rsidRPr="002A0BEE">
        <w:rPr>
          <w:rFonts w:asciiTheme="majorHAnsi" w:hAnsiTheme="majorHAnsi" w:cstheme="minorHAnsi"/>
          <w:b/>
          <w:szCs w:val="24"/>
          <w:lang w:val="sr-Latn-CS"/>
        </w:rPr>
        <w:t>Obračunata minimalna koncesiona naknada</w:t>
      </w:r>
      <w:r w:rsidR="00C9308D" w:rsidRPr="002A0BEE">
        <w:rPr>
          <w:rFonts w:asciiTheme="majorHAnsi" w:hAnsiTheme="majorHAnsi" w:cstheme="minorHAnsi"/>
          <w:b/>
          <w:szCs w:val="24"/>
          <w:lang w:val="sr-Latn-CS"/>
        </w:rPr>
        <w:t xml:space="preserve"> za eksploataciju tehničko-građevinskog kamena, odnosno za proizvodnju agregata</w:t>
      </w:r>
      <w:r w:rsidRPr="002A0BEE">
        <w:rPr>
          <w:rFonts w:asciiTheme="majorHAnsi" w:hAnsiTheme="majorHAnsi" w:cstheme="minorHAnsi"/>
          <w:b/>
          <w:szCs w:val="24"/>
          <w:lang w:val="sr-Latn-CS"/>
        </w:rPr>
        <w:t xml:space="preserve"> predstavlja minimalni iznos stalnog (nepromjenjivog) dijela koncesione naknade:</w:t>
      </w:r>
    </w:p>
    <w:p w:rsidR="0075460C" w:rsidRPr="002A0BEE" w:rsidRDefault="0075460C" w:rsidP="00347B57">
      <w:pPr>
        <w:pStyle w:val="ListParagraph"/>
        <w:numPr>
          <w:ilvl w:val="0"/>
          <w:numId w:val="14"/>
        </w:numPr>
        <w:contextualSpacing w:val="0"/>
        <w:jc w:val="both"/>
        <w:rPr>
          <w:rFonts w:asciiTheme="majorHAnsi" w:hAnsiTheme="majorHAnsi" w:cstheme="minorHAnsi"/>
          <w:szCs w:val="24"/>
          <w:lang w:val="sr-Latn-CS"/>
        </w:rPr>
      </w:pPr>
      <w:r w:rsidRPr="002A0BEE">
        <w:rPr>
          <w:rFonts w:asciiTheme="majorHAnsi" w:hAnsiTheme="majorHAnsi" w:cstheme="minorHAnsi"/>
          <w:b/>
          <w:szCs w:val="24"/>
          <w:lang w:val="sr-Latn-CS"/>
        </w:rPr>
        <w:t xml:space="preserve">za period od </w:t>
      </w:r>
      <w:r w:rsidR="005E0617" w:rsidRPr="002A0BEE">
        <w:rPr>
          <w:rFonts w:asciiTheme="majorHAnsi" w:hAnsiTheme="majorHAnsi" w:cstheme="minorHAnsi"/>
          <w:b/>
          <w:szCs w:val="24"/>
          <w:lang w:val="sr-Latn-CS"/>
        </w:rPr>
        <w:t xml:space="preserve">30 godina SDN = </w:t>
      </w:r>
      <w:r w:rsidR="00581AED" w:rsidRPr="002A0BEE">
        <w:rPr>
          <w:rFonts w:asciiTheme="majorHAnsi" w:hAnsiTheme="majorHAnsi" w:cstheme="minorHAnsi"/>
          <w:b/>
          <w:szCs w:val="24"/>
          <w:lang w:val="sr-Latn-CS"/>
        </w:rPr>
        <w:t>392.633,63</w:t>
      </w:r>
      <w:r w:rsidRPr="002A0BEE">
        <w:rPr>
          <w:rFonts w:asciiTheme="majorHAnsi" w:hAnsiTheme="majorHAnsi" w:cstheme="minorHAnsi"/>
          <w:b/>
          <w:szCs w:val="24"/>
          <w:lang w:val="sr-Latn-CS"/>
        </w:rPr>
        <w:t xml:space="preserve"> €</w:t>
      </w:r>
      <w:r w:rsidRPr="002A0BEE">
        <w:rPr>
          <w:rFonts w:asciiTheme="majorHAnsi" w:hAnsiTheme="majorHAnsi" w:cstheme="minorHAnsi"/>
          <w:szCs w:val="24"/>
          <w:lang w:val="sr-Latn-CS"/>
        </w:rPr>
        <w:t xml:space="preserve"> </w:t>
      </w:r>
    </w:p>
    <w:p w:rsidR="0075460C" w:rsidRPr="002A0BEE" w:rsidRDefault="005E0617" w:rsidP="00347B57">
      <w:pPr>
        <w:pStyle w:val="ListParagraph"/>
        <w:numPr>
          <w:ilvl w:val="0"/>
          <w:numId w:val="14"/>
        </w:numPr>
        <w:contextualSpacing w:val="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SDN (godišnje) = </w:t>
      </w:r>
      <w:r w:rsidR="00581AED" w:rsidRPr="002A0BEE">
        <w:rPr>
          <w:rFonts w:asciiTheme="majorHAnsi" w:hAnsiTheme="majorHAnsi" w:cstheme="minorHAnsi"/>
          <w:b/>
          <w:szCs w:val="24"/>
          <w:lang w:val="sr-Latn-CS"/>
        </w:rPr>
        <w:t>13.087,80</w:t>
      </w:r>
      <w:r w:rsidR="0075460C" w:rsidRPr="002A0BEE">
        <w:rPr>
          <w:rFonts w:asciiTheme="majorHAnsi" w:hAnsiTheme="majorHAnsi" w:cstheme="minorHAnsi"/>
          <w:b/>
          <w:szCs w:val="24"/>
          <w:lang w:val="sr-Latn-CS"/>
        </w:rPr>
        <w:t xml:space="preserve"> €.</w:t>
      </w:r>
    </w:p>
    <w:p w:rsidR="005A053F" w:rsidRPr="002A0BEE" w:rsidRDefault="00581AED" w:rsidP="00581AED">
      <w:pPr>
        <w:ind w:left="720"/>
        <w:jc w:val="both"/>
        <w:rPr>
          <w:rFonts w:asciiTheme="majorHAnsi" w:hAnsiTheme="majorHAnsi" w:cstheme="minorHAnsi"/>
          <w:b/>
          <w:szCs w:val="24"/>
          <w:lang w:val="sr-Latn-CS"/>
        </w:rPr>
      </w:pPr>
      <w:r w:rsidRPr="002A0BEE">
        <w:rPr>
          <w:rFonts w:asciiTheme="majorHAnsi" w:hAnsiTheme="majorHAnsi" w:cstheme="minorHAnsi"/>
          <w:b/>
          <w:szCs w:val="24"/>
          <w:lang w:val="sr-Latn-CS"/>
        </w:rPr>
        <w:t xml:space="preserve">9.5.1.3. Minimalna koncesiona naknada za eksploataciju arhitektonsko-građevinskog (ukrasnog) i tehničko-građevinskog kamena </w:t>
      </w:r>
      <w:r w:rsidR="005A053F" w:rsidRPr="002A0BEE">
        <w:rPr>
          <w:rFonts w:asciiTheme="majorHAnsi" w:hAnsiTheme="majorHAnsi" w:cstheme="minorHAnsi"/>
          <w:b/>
          <w:szCs w:val="24"/>
          <w:lang w:val="sr-Latn-CS"/>
        </w:rPr>
        <w:t xml:space="preserve"> </w:t>
      </w:r>
    </w:p>
    <w:p w:rsidR="002A74CF" w:rsidRPr="002A0BEE" w:rsidRDefault="005A053F" w:rsidP="005A053F">
      <w:pPr>
        <w:jc w:val="both"/>
        <w:rPr>
          <w:rFonts w:asciiTheme="majorHAnsi" w:hAnsiTheme="majorHAnsi" w:cstheme="minorHAnsi"/>
          <w:szCs w:val="24"/>
          <w:lang w:val="sr-Latn-CS"/>
        </w:rPr>
      </w:pPr>
      <w:r w:rsidRPr="002A0BEE">
        <w:rPr>
          <w:rFonts w:asciiTheme="majorHAnsi" w:hAnsiTheme="majorHAnsi" w:cstheme="minorHAnsi"/>
          <w:szCs w:val="24"/>
          <w:lang w:val="sr-Latn-CS"/>
        </w:rPr>
        <w:t>Minimalna koncesiona naknada za eksploataciju arhitektonsko-građevinskog (ukrasnog) i tehničko-građevinskog kamena (čl. 18 Uredbe) obračunava se po obrascu:</w:t>
      </w:r>
    </w:p>
    <w:p w:rsidR="005A053F" w:rsidRPr="002A0BEE" w:rsidRDefault="005A053F" w:rsidP="005A053F">
      <w:pPr>
        <w:jc w:val="both"/>
        <w:rPr>
          <w:rFonts w:asciiTheme="majorHAnsi" w:hAnsiTheme="majorHAnsi" w:cstheme="minorHAnsi"/>
          <w:b/>
          <w:szCs w:val="24"/>
          <w:lang w:val="sr-Latn-CS"/>
        </w:rPr>
      </w:pPr>
      <w:r w:rsidRPr="002A0BEE">
        <w:rPr>
          <w:rFonts w:asciiTheme="majorHAnsi" w:hAnsiTheme="majorHAnsi" w:cstheme="minorHAnsi"/>
          <w:b/>
          <w:szCs w:val="24"/>
          <w:lang w:val="sr-Latn-CS"/>
        </w:rPr>
        <w:t>MDN= VP x G</w:t>
      </w:r>
    </w:p>
    <w:p w:rsidR="005A053F" w:rsidRPr="002A0BEE" w:rsidRDefault="005A053F" w:rsidP="005A053F">
      <w:pPr>
        <w:jc w:val="both"/>
        <w:rPr>
          <w:rFonts w:asciiTheme="majorHAnsi" w:hAnsiTheme="majorHAnsi" w:cstheme="minorHAnsi"/>
          <w:szCs w:val="24"/>
          <w:lang w:val="sr-Latn-CS"/>
        </w:rPr>
      </w:pPr>
      <w:r w:rsidRPr="002A0BEE">
        <w:rPr>
          <w:rFonts w:asciiTheme="majorHAnsi" w:hAnsiTheme="majorHAnsi" w:cstheme="minorHAnsi"/>
          <w:szCs w:val="24"/>
          <w:lang w:val="sr-Latn-CS"/>
        </w:rPr>
        <w:t>gdje su:</w:t>
      </w:r>
    </w:p>
    <w:p w:rsidR="0023153B" w:rsidRPr="002A0BEE" w:rsidRDefault="005A053F" w:rsidP="0023153B">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VP - vrijednost proizvodnje 25.709.051,91 € (za period od 30 godina)</w:t>
      </w:r>
    </w:p>
    <w:p w:rsidR="0023153B" w:rsidRPr="002A0BEE" w:rsidRDefault="005A053F" w:rsidP="0023153B">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VP -vrijednost godišnje proizvodnje 856.968,40 €/godišnje</w:t>
      </w:r>
    </w:p>
    <w:p w:rsidR="005A053F" w:rsidRPr="002A0BEE" w:rsidRDefault="005A053F" w:rsidP="00347B57">
      <w:pPr>
        <w:jc w:val="both"/>
        <w:rPr>
          <w:rFonts w:asciiTheme="majorHAnsi" w:hAnsiTheme="majorHAnsi" w:cstheme="minorHAnsi"/>
          <w:b/>
          <w:szCs w:val="24"/>
          <w:lang w:val="sr-Latn-CS"/>
        </w:rPr>
      </w:pPr>
      <w:r w:rsidRPr="002A0BEE">
        <w:rPr>
          <w:rFonts w:asciiTheme="majorHAnsi" w:hAnsiTheme="majorHAnsi" w:cstheme="minorHAnsi"/>
          <w:szCs w:val="24"/>
          <w:lang w:val="sr-Latn-CS"/>
        </w:rPr>
        <w:t>G - minimalni procentni iznos (7%)</w:t>
      </w:r>
      <w:r w:rsidRPr="002A0BEE">
        <w:rPr>
          <w:rFonts w:asciiTheme="majorHAnsi" w:hAnsiTheme="majorHAnsi" w:cstheme="minorHAnsi"/>
          <w:b/>
          <w:szCs w:val="24"/>
          <w:lang w:val="sr-Latn-CS"/>
        </w:rPr>
        <w:t>MDN = 25.709.051,91 x 0,07 = 1.799.633,63 € (ukupno za period od 30 godina)</w:t>
      </w:r>
    </w:p>
    <w:p w:rsidR="005A053F" w:rsidRPr="002A0BEE" w:rsidRDefault="005A053F" w:rsidP="00347B57">
      <w:pPr>
        <w:jc w:val="both"/>
        <w:rPr>
          <w:rFonts w:asciiTheme="majorHAnsi" w:hAnsiTheme="majorHAnsi" w:cstheme="minorHAnsi"/>
          <w:b/>
          <w:szCs w:val="24"/>
          <w:lang w:val="sr-Latn-CS"/>
        </w:rPr>
      </w:pPr>
      <w:r w:rsidRPr="002A0BEE">
        <w:rPr>
          <w:rFonts w:asciiTheme="majorHAnsi" w:hAnsiTheme="majorHAnsi" w:cstheme="minorHAnsi"/>
          <w:b/>
          <w:szCs w:val="24"/>
          <w:lang w:val="sr-Latn-CS"/>
        </w:rPr>
        <w:t>MDN = 856.968,40 x 0,07 = 57.887,80 €/godišnje</w:t>
      </w:r>
    </w:p>
    <w:p w:rsidR="005A053F" w:rsidRPr="002A0BEE" w:rsidRDefault="005A053F" w:rsidP="005A053F">
      <w:pPr>
        <w:jc w:val="both"/>
        <w:rPr>
          <w:rFonts w:asciiTheme="majorHAnsi" w:hAnsiTheme="majorHAnsi" w:cstheme="minorHAnsi"/>
          <w:szCs w:val="24"/>
          <w:lang w:val="sr-Latn-CS"/>
        </w:rPr>
      </w:pPr>
      <w:r w:rsidRPr="002A0BEE">
        <w:rPr>
          <w:rFonts w:asciiTheme="majorHAnsi" w:hAnsiTheme="majorHAnsi" w:cstheme="minorHAnsi"/>
          <w:szCs w:val="24"/>
          <w:lang w:val="sr-Latn-CS"/>
        </w:rPr>
        <w:t>Koncesiona naknada (čl. 19 Uredbe) za eksploataciju mineralne sirovine sastoji se iz stalnog (SDN) (nepromjenjivog) i promjenjivog (PDN) dijela naknade.</w:t>
      </w:r>
    </w:p>
    <w:p w:rsidR="005A053F" w:rsidRPr="002A0BEE" w:rsidRDefault="005A053F" w:rsidP="005A053F">
      <w:pPr>
        <w:jc w:val="both"/>
        <w:rPr>
          <w:rFonts w:asciiTheme="majorHAnsi" w:hAnsiTheme="majorHAnsi" w:cstheme="minorHAnsi"/>
          <w:b/>
          <w:szCs w:val="24"/>
          <w:lang w:val="sr-Latn-CS"/>
        </w:rPr>
      </w:pPr>
      <w:r w:rsidRPr="002A0BEE">
        <w:rPr>
          <w:rFonts w:asciiTheme="majorHAnsi" w:hAnsiTheme="majorHAnsi" w:cstheme="minorHAnsi"/>
          <w:b/>
          <w:szCs w:val="24"/>
          <w:lang w:val="sr-Latn-CS"/>
        </w:rPr>
        <w:t>Obračunata minimalna koncesiona naknada za eksploataciju arhitektonsko-građevinskog (ukrasnog) i tehničko-građevinskog kamena predstavlja minimalni iznos stalnog (nepromjenjivog) dijela koncesione naknade:</w:t>
      </w:r>
    </w:p>
    <w:p w:rsidR="0023153B" w:rsidRPr="002A0BEE" w:rsidRDefault="005A053F" w:rsidP="0023153B">
      <w:pPr>
        <w:pStyle w:val="ListParagraph"/>
        <w:numPr>
          <w:ilvl w:val="0"/>
          <w:numId w:val="14"/>
        </w:numPr>
        <w:contextualSpacing w:val="0"/>
        <w:jc w:val="both"/>
        <w:rPr>
          <w:rFonts w:asciiTheme="majorHAnsi" w:hAnsiTheme="majorHAnsi" w:cstheme="minorHAnsi"/>
          <w:szCs w:val="24"/>
          <w:lang w:val="sr-Latn-CS"/>
        </w:rPr>
      </w:pPr>
      <w:r w:rsidRPr="002A0BEE">
        <w:rPr>
          <w:rFonts w:asciiTheme="majorHAnsi" w:hAnsiTheme="majorHAnsi" w:cstheme="minorHAnsi"/>
          <w:b/>
          <w:szCs w:val="24"/>
          <w:lang w:val="sr-Latn-CS"/>
        </w:rPr>
        <w:t>za period od 30 godina SDN = 1.799.633,63 €</w:t>
      </w:r>
      <w:r w:rsidRPr="002A0BEE">
        <w:rPr>
          <w:rFonts w:asciiTheme="majorHAnsi" w:hAnsiTheme="majorHAnsi" w:cstheme="minorHAnsi"/>
          <w:szCs w:val="24"/>
          <w:lang w:val="sr-Latn-CS"/>
        </w:rPr>
        <w:t xml:space="preserve"> </w:t>
      </w:r>
    </w:p>
    <w:p w:rsidR="0023153B" w:rsidRPr="002A0BEE" w:rsidRDefault="0023153B" w:rsidP="0023153B">
      <w:pPr>
        <w:pStyle w:val="ListParagraph"/>
        <w:numPr>
          <w:ilvl w:val="0"/>
          <w:numId w:val="14"/>
        </w:numPr>
        <w:contextualSpacing w:val="0"/>
        <w:jc w:val="both"/>
        <w:rPr>
          <w:rFonts w:asciiTheme="majorHAnsi" w:hAnsiTheme="majorHAnsi" w:cstheme="minorHAnsi"/>
          <w:szCs w:val="24"/>
          <w:lang w:val="sr-Latn-CS"/>
        </w:rPr>
      </w:pPr>
      <w:r w:rsidRPr="002A0BEE">
        <w:rPr>
          <w:rFonts w:asciiTheme="majorHAnsi" w:hAnsiTheme="majorHAnsi" w:cstheme="minorHAnsi"/>
          <w:b/>
          <w:szCs w:val="24"/>
          <w:lang w:val="sr-Latn-CS"/>
        </w:rPr>
        <w:t xml:space="preserve">SDN (godišnje) = </w:t>
      </w:r>
      <w:r w:rsidR="005A053F" w:rsidRPr="002A0BEE">
        <w:rPr>
          <w:rFonts w:asciiTheme="majorHAnsi" w:hAnsiTheme="majorHAnsi" w:cstheme="minorHAnsi"/>
          <w:b/>
          <w:szCs w:val="24"/>
          <w:lang w:val="sr-Latn-CS"/>
        </w:rPr>
        <w:t xml:space="preserve">57.887,80 </w:t>
      </w:r>
      <w:r w:rsidRPr="002A0BEE">
        <w:rPr>
          <w:rFonts w:asciiTheme="majorHAnsi" w:hAnsiTheme="majorHAnsi" w:cstheme="minorHAnsi"/>
          <w:b/>
          <w:szCs w:val="24"/>
          <w:lang w:val="sr-Latn-CS"/>
        </w:rPr>
        <w:t>€.</w:t>
      </w:r>
    </w:p>
    <w:p w:rsidR="0023153B" w:rsidRPr="002A0BEE" w:rsidRDefault="0023153B" w:rsidP="0023153B">
      <w:pPr>
        <w:ind w:left="360"/>
        <w:jc w:val="both"/>
        <w:rPr>
          <w:rFonts w:asciiTheme="majorHAnsi" w:hAnsiTheme="majorHAnsi" w:cstheme="minorHAnsi"/>
          <w:szCs w:val="24"/>
          <w:lang w:val="sr-Latn-CS"/>
        </w:rPr>
      </w:pPr>
    </w:p>
    <w:p w:rsidR="009248F4"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Stalni dio koncesione naknade koji se utvrđuje Ugovorom o koncesiji može, u zavisnosti od ponuda, biti veći a ne manji od obračunatog minimalnog iznosa.</w:t>
      </w:r>
    </w:p>
    <w:p w:rsidR="009248F4"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lastRenderedPageBreak/>
        <w:t>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Ovo predstavlja jedan od osnovnih kriterijuma za vrednovanje ponuda.</w:t>
      </w:r>
    </w:p>
    <w:p w:rsidR="003C2C76"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Ugovoreni godišnji iznos SDN koncesionar plaća tokom konesionog perioda u jednakim polugodišnjim ratama do kraja juna, odnosno, decembra tekuće godine. </w:t>
      </w:r>
    </w:p>
    <w:p w:rsidR="009248F4" w:rsidRPr="002A0BEE" w:rsidRDefault="009248F4" w:rsidP="0055031D">
      <w:pPr>
        <w:pStyle w:val="Heading2"/>
        <w:numPr>
          <w:ilvl w:val="1"/>
          <w:numId w:val="47"/>
        </w:numPr>
        <w:spacing w:before="0" w:after="200"/>
        <w:rPr>
          <w:rFonts w:cstheme="minorHAnsi"/>
          <w:szCs w:val="24"/>
          <w:lang w:val="sr-Latn-CS"/>
        </w:rPr>
      </w:pPr>
      <w:bookmarkStart w:id="122" w:name="_Toc390549914"/>
      <w:bookmarkStart w:id="123" w:name="_Toc401959440"/>
      <w:bookmarkStart w:id="124" w:name="_Toc401959533"/>
      <w:bookmarkStart w:id="125" w:name="_Toc435529022"/>
      <w:bookmarkStart w:id="126" w:name="_Toc436124891"/>
      <w:r w:rsidRPr="002A0BEE">
        <w:rPr>
          <w:rFonts w:cstheme="minorHAnsi"/>
          <w:szCs w:val="24"/>
          <w:lang w:val="sr-Latn-CS"/>
        </w:rPr>
        <w:t>Promjenjivi dio naknade (PDN)</w:t>
      </w:r>
      <w:bookmarkEnd w:id="122"/>
      <w:bookmarkEnd w:id="123"/>
      <w:bookmarkEnd w:id="124"/>
      <w:bookmarkEnd w:id="125"/>
      <w:bookmarkEnd w:id="126"/>
    </w:p>
    <w:p w:rsidR="009248F4"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Promjenjivi dio naknade obračunava se godišnje po obrascu:</w:t>
      </w:r>
    </w:p>
    <w:p w:rsidR="009248F4" w:rsidRPr="002A0BEE" w:rsidRDefault="009248F4" w:rsidP="00347B57">
      <w:pPr>
        <w:jc w:val="both"/>
        <w:rPr>
          <w:rFonts w:asciiTheme="majorHAnsi" w:hAnsiTheme="majorHAnsi" w:cstheme="minorHAnsi"/>
          <w:b/>
          <w:szCs w:val="24"/>
          <w:lang w:val="sr-Latn-CS"/>
        </w:rPr>
      </w:pPr>
      <w:r w:rsidRPr="002A0BEE">
        <w:rPr>
          <w:rFonts w:asciiTheme="majorHAnsi" w:hAnsiTheme="majorHAnsi" w:cstheme="minorHAnsi"/>
          <w:b/>
          <w:szCs w:val="24"/>
          <w:lang w:val="sr-Latn-CS"/>
        </w:rPr>
        <w:t>PDN = VP x (G x K) &gt; SDN (godišnjeg iznosa),</w:t>
      </w:r>
    </w:p>
    <w:p w:rsidR="009248F4"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gdje su:</w:t>
      </w:r>
    </w:p>
    <w:p w:rsidR="009248F4" w:rsidRPr="002A0BEE" w:rsidRDefault="009248F4"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VP</w:t>
      </w:r>
      <w:r w:rsidR="005E0824"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godišnja vrijednost proizvodnje obračunata na osnovu ostvarene godišnje proizvodnje mineralne sirovine i prosječne godišnje prodajne cijene priozvoda</w:t>
      </w:r>
    </w:p>
    <w:p w:rsidR="009248F4" w:rsidRPr="002A0BEE" w:rsidRDefault="009248F4" w:rsidP="002E447F">
      <w:p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G</w:t>
      </w:r>
      <w:r w:rsidR="005E0824"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ugovoreni procentualni iznos za pripadnost grupi ležišta (ne manji od 7%)</w:t>
      </w:r>
    </w:p>
    <w:p w:rsidR="009248F4"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K</w:t>
      </w:r>
      <w:r w:rsidR="005E0824" w:rsidRPr="002A0BEE">
        <w:rPr>
          <w:rFonts w:asciiTheme="majorHAnsi" w:hAnsiTheme="majorHAnsi" w:cstheme="minorHAnsi"/>
          <w:szCs w:val="24"/>
          <w:lang w:val="sr-Latn-CS"/>
        </w:rPr>
        <w:t xml:space="preserve"> </w:t>
      </w:r>
      <w:r w:rsidRPr="002A0BEE">
        <w:rPr>
          <w:rFonts w:asciiTheme="majorHAnsi" w:hAnsiTheme="majorHAnsi" w:cstheme="minorHAnsi"/>
          <w:szCs w:val="24"/>
          <w:lang w:val="sr-Latn-CS"/>
        </w:rPr>
        <w:t>- vrijednost korektivnih faktora</w:t>
      </w:r>
    </w:p>
    <w:p w:rsidR="009248F4"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Vrijednost korektivnih faktora:</w:t>
      </w:r>
    </w:p>
    <w:p w:rsidR="009248F4" w:rsidRPr="002A0BEE" w:rsidRDefault="009248F4" w:rsidP="002E447F">
      <w:pPr>
        <w:numPr>
          <w:ilvl w:val="0"/>
          <w:numId w:val="4"/>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po osnovu kvaliteta mineralne sirovine, obračunati iznos se ne uvećava niti se umanjuje (čl. 17 Uredbe); i</w:t>
      </w:r>
    </w:p>
    <w:p w:rsidR="009248F4" w:rsidRPr="002A0BEE" w:rsidRDefault="009248F4" w:rsidP="00347B57">
      <w:pPr>
        <w:numPr>
          <w:ilvl w:val="0"/>
          <w:numId w:val="4"/>
        </w:numPr>
        <w:jc w:val="both"/>
        <w:rPr>
          <w:rFonts w:asciiTheme="majorHAnsi" w:hAnsiTheme="majorHAnsi" w:cstheme="minorHAnsi"/>
          <w:szCs w:val="24"/>
          <w:lang w:val="sr-Latn-CS"/>
        </w:rPr>
      </w:pPr>
      <w:r w:rsidRPr="002A0BEE">
        <w:rPr>
          <w:rFonts w:asciiTheme="majorHAnsi" w:hAnsiTheme="majorHAnsi" w:cstheme="minorHAnsi"/>
          <w:szCs w:val="24"/>
          <w:lang w:val="sr-Latn-CS"/>
        </w:rPr>
        <w:t>po osnovu ostvarene proizvodnje, obračunati iznos se uvećava od 0 do 3% (čl. 21 Uredbe).</w:t>
      </w:r>
    </w:p>
    <w:p w:rsidR="009248F4"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Promjenjivi dio naknade obračunava se na kraju svake godine</w:t>
      </w:r>
      <w:r w:rsidR="00D27D45" w:rsidRPr="002A0BEE">
        <w:rPr>
          <w:rFonts w:asciiTheme="majorHAnsi" w:hAnsiTheme="majorHAnsi" w:cstheme="minorHAnsi"/>
          <w:szCs w:val="24"/>
          <w:lang w:val="sr-Latn-CS"/>
        </w:rPr>
        <w:t>.</w:t>
      </w:r>
      <w:r w:rsidRPr="002A0BEE">
        <w:rPr>
          <w:rFonts w:asciiTheme="majorHAnsi" w:hAnsiTheme="majorHAnsi" w:cstheme="minorHAnsi"/>
          <w:szCs w:val="24"/>
          <w:lang w:val="sr-Latn-CS"/>
        </w:rPr>
        <w:t>. Uplata se vrši jedanput godišnje na osnovu Rješenja nadležnog ministarstva.</w:t>
      </w:r>
    </w:p>
    <w:p w:rsidR="009248F4"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Obračun PDN se vrši na osnovu dokumentacije:</w:t>
      </w:r>
    </w:p>
    <w:p w:rsidR="009248F4" w:rsidRPr="002A0BEE" w:rsidRDefault="009248F4" w:rsidP="002E447F">
      <w:pPr>
        <w:numPr>
          <w:ilvl w:val="0"/>
          <w:numId w:val="4"/>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godišnjeg tehničkog izvještaja;</w:t>
      </w:r>
    </w:p>
    <w:p w:rsidR="009248F4" w:rsidRPr="002A0BEE" w:rsidRDefault="009248F4" w:rsidP="002E447F">
      <w:pPr>
        <w:numPr>
          <w:ilvl w:val="0"/>
          <w:numId w:val="4"/>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izvještaja o radu i ostvarenom prihodu po osnovu ostvarene proizvodnje mineralne sirovine i</w:t>
      </w:r>
    </w:p>
    <w:p w:rsidR="009248F4" w:rsidRPr="002A0BEE" w:rsidRDefault="009248F4" w:rsidP="00347B57">
      <w:pPr>
        <w:numPr>
          <w:ilvl w:val="0"/>
          <w:numId w:val="4"/>
        </w:numPr>
        <w:jc w:val="both"/>
        <w:rPr>
          <w:rFonts w:asciiTheme="majorHAnsi" w:hAnsiTheme="majorHAnsi" w:cstheme="minorHAnsi"/>
          <w:szCs w:val="24"/>
          <w:lang w:val="sr-Latn-CS"/>
        </w:rPr>
      </w:pPr>
      <w:r w:rsidRPr="002A0BEE">
        <w:rPr>
          <w:rFonts w:asciiTheme="majorHAnsi" w:hAnsiTheme="majorHAnsi" w:cstheme="minorHAnsi"/>
          <w:szCs w:val="24"/>
          <w:lang w:val="sr-Latn-CS"/>
        </w:rPr>
        <w:t>dokaza o količinama i prosječno ostvarenim prodajnim cijenama jedinice proizvoda na domaćem i stranom tržištu.</w:t>
      </w:r>
    </w:p>
    <w:p w:rsidR="009248F4" w:rsidRPr="002A0BEE" w:rsidRDefault="009248F4" w:rsidP="00347B57">
      <w:pPr>
        <w:jc w:val="both"/>
        <w:rPr>
          <w:rFonts w:asciiTheme="majorHAnsi" w:hAnsiTheme="majorHAnsi" w:cstheme="minorHAnsi"/>
          <w:szCs w:val="24"/>
          <w:lang w:val="sr-Latn-CS"/>
        </w:rPr>
      </w:pPr>
      <w:r w:rsidRPr="002A0BEE">
        <w:rPr>
          <w:rFonts w:asciiTheme="majorHAnsi" w:hAnsiTheme="majorHAnsi" w:cstheme="minorHAnsi"/>
          <w:szCs w:val="24"/>
          <w:lang w:val="sr-Latn-CS"/>
        </w:rPr>
        <w:t>Dokumentaciju za obračun PDN podnosi koncesionar najkasnije do kraja marta tekuće, za prethodnu godinu.</w:t>
      </w:r>
    </w:p>
    <w:p w:rsidR="009248F4" w:rsidRPr="002A0BEE" w:rsidRDefault="009248F4" w:rsidP="0055031D">
      <w:pPr>
        <w:pStyle w:val="Heading1"/>
        <w:numPr>
          <w:ilvl w:val="0"/>
          <w:numId w:val="47"/>
        </w:numPr>
        <w:spacing w:before="0" w:after="200"/>
        <w:rPr>
          <w:rFonts w:asciiTheme="majorHAnsi" w:hAnsiTheme="majorHAnsi" w:cstheme="minorHAnsi"/>
          <w:sz w:val="24"/>
          <w:szCs w:val="24"/>
          <w:lang w:val="sr-Latn-CS"/>
        </w:rPr>
      </w:pPr>
      <w:bookmarkStart w:id="127" w:name="_Toc390549915"/>
      <w:bookmarkStart w:id="128" w:name="_Toc401959441"/>
      <w:bookmarkStart w:id="129" w:name="_Toc401959534"/>
      <w:bookmarkStart w:id="130" w:name="_Toc435529023"/>
      <w:bookmarkStart w:id="131" w:name="_Toc436124892"/>
      <w:r w:rsidRPr="002A0BEE">
        <w:rPr>
          <w:rFonts w:asciiTheme="majorHAnsi" w:hAnsiTheme="majorHAnsi" w:cstheme="minorHAnsi"/>
          <w:sz w:val="24"/>
          <w:szCs w:val="24"/>
          <w:lang w:val="sr-Latn-CS"/>
        </w:rPr>
        <w:lastRenderedPageBreak/>
        <w:t>Kriterijumi za izbor najpovoljnije ponude</w:t>
      </w:r>
      <w:bookmarkEnd w:id="127"/>
      <w:bookmarkEnd w:id="128"/>
      <w:bookmarkEnd w:id="129"/>
      <w:bookmarkEnd w:id="130"/>
      <w:bookmarkEnd w:id="131"/>
      <w:r w:rsidRPr="002A0BEE">
        <w:rPr>
          <w:rFonts w:asciiTheme="majorHAnsi" w:hAnsiTheme="majorHAnsi" w:cstheme="minorHAnsi"/>
          <w:sz w:val="24"/>
          <w:szCs w:val="24"/>
          <w:lang w:val="sr-Latn-CS"/>
        </w:rPr>
        <w:t xml:space="preserve"> </w:t>
      </w:r>
    </w:p>
    <w:p w:rsidR="0046570D" w:rsidRPr="002A0BEE" w:rsidRDefault="0046570D" w:rsidP="0046570D">
      <w:pPr>
        <w:jc w:val="both"/>
        <w:rPr>
          <w:rFonts w:asciiTheme="majorHAnsi" w:hAnsiTheme="majorHAnsi" w:cstheme="minorHAnsi"/>
          <w:szCs w:val="24"/>
          <w:lang w:val="sr-Latn-CS"/>
        </w:rPr>
      </w:pPr>
      <w:bookmarkStart w:id="132" w:name="_Toc390549916"/>
      <w:bookmarkStart w:id="133" w:name="_Toc401959442"/>
      <w:bookmarkStart w:id="134" w:name="_Toc401959535"/>
      <w:bookmarkStart w:id="135" w:name="_Toc435529024"/>
      <w:r w:rsidRPr="002A0BEE">
        <w:rPr>
          <w:rFonts w:asciiTheme="majorHAnsi" w:hAnsiTheme="majorHAnsi" w:cstheme="minorHAnsi"/>
          <w:szCs w:val="24"/>
          <w:lang w:val="sr-Latn-CS"/>
        </w:rPr>
        <w:t>Kriterijumi na osnovu kojih se vrši vrednovanje ponuda su sljedeći:</w:t>
      </w:r>
    </w:p>
    <w:tbl>
      <w:tblPr>
        <w:tblStyle w:val="TableGrid"/>
        <w:tblW w:w="0" w:type="auto"/>
        <w:tblLook w:val="04A0"/>
      </w:tblPr>
      <w:tblGrid>
        <w:gridCol w:w="648"/>
        <w:gridCol w:w="7290"/>
        <w:gridCol w:w="1638"/>
      </w:tblGrid>
      <w:tr w:rsidR="0046570D" w:rsidRPr="002A0BEE" w:rsidTr="002A0BEE">
        <w:trPr>
          <w:trHeight w:val="285"/>
        </w:trPr>
        <w:tc>
          <w:tcPr>
            <w:tcW w:w="648" w:type="dxa"/>
            <w:tcBorders>
              <w:top w:val="double" w:sz="4" w:space="0" w:color="auto"/>
              <w:left w:val="double" w:sz="4" w:space="0" w:color="auto"/>
              <w:bottom w:val="double" w:sz="4" w:space="0" w:color="auto"/>
              <w:right w:val="double" w:sz="4" w:space="0" w:color="auto"/>
            </w:tcBorders>
            <w:shd w:val="clear" w:color="auto" w:fill="FFC000"/>
          </w:tcPr>
          <w:p w:rsidR="0046570D" w:rsidRPr="002A0BEE" w:rsidRDefault="0046570D" w:rsidP="002A0BEE">
            <w:pPr>
              <w:spacing w:after="200" w:line="276" w:lineRule="auto"/>
              <w:jc w:val="both"/>
              <w:rPr>
                <w:rFonts w:asciiTheme="majorHAnsi" w:hAnsiTheme="majorHAnsi" w:cstheme="minorHAnsi"/>
                <w:b/>
                <w:sz w:val="24"/>
                <w:szCs w:val="24"/>
                <w:lang w:val="sr-Latn-CS"/>
              </w:rPr>
            </w:pPr>
            <w:r w:rsidRPr="002A0BEE">
              <w:rPr>
                <w:rFonts w:asciiTheme="majorHAnsi" w:hAnsiTheme="majorHAnsi" w:cstheme="minorHAnsi"/>
                <w:b/>
                <w:sz w:val="24"/>
                <w:szCs w:val="24"/>
                <w:lang w:val="sr-Latn-CS"/>
              </w:rPr>
              <w:t>R.B.</w:t>
            </w:r>
          </w:p>
        </w:tc>
        <w:tc>
          <w:tcPr>
            <w:tcW w:w="7290" w:type="dxa"/>
            <w:tcBorders>
              <w:top w:val="double" w:sz="4" w:space="0" w:color="auto"/>
              <w:left w:val="double" w:sz="4" w:space="0" w:color="auto"/>
              <w:bottom w:val="double" w:sz="4" w:space="0" w:color="auto"/>
              <w:right w:val="double" w:sz="4" w:space="0" w:color="auto"/>
            </w:tcBorders>
            <w:shd w:val="clear" w:color="auto" w:fill="FFC000"/>
          </w:tcPr>
          <w:p w:rsidR="0046570D" w:rsidRPr="002A0BEE" w:rsidRDefault="0046570D" w:rsidP="002A0BEE">
            <w:pPr>
              <w:spacing w:after="200" w:line="276" w:lineRule="auto"/>
              <w:jc w:val="both"/>
              <w:rPr>
                <w:rFonts w:asciiTheme="majorHAnsi" w:hAnsiTheme="majorHAnsi" w:cstheme="minorHAnsi"/>
                <w:b/>
                <w:sz w:val="24"/>
                <w:szCs w:val="24"/>
                <w:lang w:val="sr-Latn-CS"/>
              </w:rPr>
            </w:pPr>
            <w:r w:rsidRPr="002A0BEE">
              <w:rPr>
                <w:rFonts w:asciiTheme="majorHAnsi" w:hAnsiTheme="majorHAnsi" w:cstheme="minorHAnsi"/>
                <w:b/>
                <w:sz w:val="24"/>
                <w:szCs w:val="24"/>
                <w:lang w:val="sr-Latn-CS"/>
              </w:rPr>
              <w:t xml:space="preserve">                                             K R I T E R I J U M I</w:t>
            </w:r>
          </w:p>
        </w:tc>
        <w:tc>
          <w:tcPr>
            <w:tcW w:w="1638" w:type="dxa"/>
            <w:tcBorders>
              <w:top w:val="double" w:sz="4" w:space="0" w:color="auto"/>
              <w:left w:val="double" w:sz="4" w:space="0" w:color="auto"/>
              <w:bottom w:val="double" w:sz="4" w:space="0" w:color="auto"/>
              <w:right w:val="double" w:sz="4" w:space="0" w:color="auto"/>
            </w:tcBorders>
            <w:shd w:val="clear" w:color="auto" w:fill="FFC000"/>
          </w:tcPr>
          <w:p w:rsidR="0046570D" w:rsidRPr="002A0BEE" w:rsidRDefault="0046570D" w:rsidP="002A0BEE">
            <w:pPr>
              <w:spacing w:after="200" w:line="276" w:lineRule="auto"/>
              <w:jc w:val="both"/>
              <w:rPr>
                <w:rFonts w:asciiTheme="majorHAnsi" w:hAnsiTheme="majorHAnsi" w:cstheme="minorHAnsi"/>
                <w:b/>
                <w:sz w:val="24"/>
                <w:szCs w:val="24"/>
                <w:lang w:val="sr-Latn-CS"/>
              </w:rPr>
            </w:pPr>
            <w:r w:rsidRPr="002A0BEE">
              <w:rPr>
                <w:rFonts w:asciiTheme="majorHAnsi" w:hAnsiTheme="majorHAnsi" w:cstheme="minorHAnsi"/>
                <w:b/>
                <w:sz w:val="24"/>
                <w:szCs w:val="24"/>
                <w:lang w:val="sr-Latn-CS"/>
              </w:rPr>
              <w:t xml:space="preserve"> Broj bodova</w:t>
            </w:r>
          </w:p>
        </w:tc>
      </w:tr>
      <w:tr w:rsidR="0046570D" w:rsidRPr="002A0BEE" w:rsidTr="002A0BEE">
        <w:tc>
          <w:tcPr>
            <w:tcW w:w="648" w:type="dxa"/>
            <w:tcBorders>
              <w:top w:val="double" w:sz="4" w:space="0" w:color="auto"/>
              <w:left w:val="double" w:sz="4" w:space="0" w:color="auto"/>
              <w:bottom w:val="sing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b/>
                <w:sz w:val="24"/>
                <w:szCs w:val="24"/>
                <w:lang w:val="sr-Latn-CS"/>
              </w:rPr>
            </w:pPr>
            <w:r w:rsidRPr="002A0BEE">
              <w:rPr>
                <w:rFonts w:asciiTheme="majorHAnsi" w:hAnsiTheme="majorHAnsi" w:cstheme="minorHAnsi"/>
                <w:b/>
                <w:sz w:val="24"/>
                <w:szCs w:val="24"/>
                <w:lang w:val="sr-Latn-CS"/>
              </w:rPr>
              <w:t xml:space="preserve">   1</w:t>
            </w:r>
          </w:p>
        </w:tc>
        <w:tc>
          <w:tcPr>
            <w:tcW w:w="7290" w:type="dxa"/>
            <w:tcBorders>
              <w:top w:val="double" w:sz="4" w:space="0" w:color="auto"/>
              <w:left w:val="double" w:sz="4" w:space="0" w:color="auto"/>
              <w:bottom w:val="sing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sz w:val="24"/>
                <w:szCs w:val="24"/>
                <w:lang w:val="sr-Latn-CS"/>
              </w:rPr>
            </w:pPr>
            <w:r w:rsidRPr="002A0BEE">
              <w:rPr>
                <w:rFonts w:asciiTheme="majorHAnsi" w:hAnsiTheme="majorHAnsi" w:cstheme="minorHAnsi"/>
                <w:sz w:val="24"/>
                <w:szCs w:val="24"/>
                <w:lang w:val="sr-Latn-CS"/>
              </w:rPr>
              <w:t>Ponuđeni procentualni iznos za obračun koncesione naknade</w:t>
            </w:r>
          </w:p>
        </w:tc>
        <w:tc>
          <w:tcPr>
            <w:tcW w:w="1638" w:type="dxa"/>
            <w:tcBorders>
              <w:top w:val="double" w:sz="4" w:space="0" w:color="auto"/>
              <w:left w:val="double" w:sz="4" w:space="0" w:color="auto"/>
              <w:right w:val="double" w:sz="4" w:space="0" w:color="auto"/>
            </w:tcBorders>
          </w:tcPr>
          <w:p w:rsidR="0046570D" w:rsidRPr="002A0BEE" w:rsidRDefault="0046570D" w:rsidP="002A0BEE">
            <w:pPr>
              <w:spacing w:after="200" w:line="276" w:lineRule="auto"/>
              <w:jc w:val="center"/>
              <w:rPr>
                <w:rFonts w:asciiTheme="majorHAnsi" w:hAnsiTheme="majorHAnsi" w:cstheme="minorHAnsi"/>
                <w:sz w:val="24"/>
                <w:szCs w:val="24"/>
                <w:lang w:val="sr-Latn-CS"/>
              </w:rPr>
            </w:pPr>
            <w:r w:rsidRPr="002A0BEE">
              <w:rPr>
                <w:rFonts w:asciiTheme="majorHAnsi" w:hAnsiTheme="majorHAnsi" w:cstheme="minorHAnsi"/>
                <w:sz w:val="24"/>
                <w:szCs w:val="24"/>
                <w:lang w:val="sr-Latn-CS"/>
              </w:rPr>
              <w:t>40</w:t>
            </w:r>
          </w:p>
        </w:tc>
      </w:tr>
      <w:tr w:rsidR="0046570D" w:rsidRPr="002A0BEE" w:rsidTr="002A0BEE">
        <w:tc>
          <w:tcPr>
            <w:tcW w:w="648" w:type="dxa"/>
            <w:tcBorders>
              <w:left w:val="doub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b/>
                <w:sz w:val="24"/>
                <w:szCs w:val="24"/>
                <w:lang w:val="sr-Latn-CS"/>
              </w:rPr>
            </w:pPr>
            <w:r w:rsidRPr="002A0BEE">
              <w:rPr>
                <w:rFonts w:asciiTheme="majorHAnsi" w:hAnsiTheme="majorHAnsi" w:cstheme="minorHAnsi"/>
                <w:b/>
                <w:sz w:val="24"/>
                <w:szCs w:val="24"/>
                <w:lang w:val="sr-Latn-CS"/>
              </w:rPr>
              <w:t xml:space="preserve">   2</w:t>
            </w:r>
          </w:p>
        </w:tc>
        <w:tc>
          <w:tcPr>
            <w:tcW w:w="7290" w:type="dxa"/>
            <w:tcBorders>
              <w:left w:val="double" w:sz="4" w:space="0" w:color="auto"/>
              <w:bottom w:val="sing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sz w:val="24"/>
                <w:szCs w:val="24"/>
                <w:lang w:val="sr-Latn-CS"/>
              </w:rPr>
            </w:pPr>
            <w:r w:rsidRPr="002A0BEE">
              <w:rPr>
                <w:rFonts w:asciiTheme="majorHAnsi" w:hAnsiTheme="majorHAnsi" w:cstheme="minorHAnsi"/>
                <w:sz w:val="24"/>
                <w:szCs w:val="24"/>
                <w:lang w:val="sr-Latn-CS"/>
              </w:rPr>
              <w:t xml:space="preserve">Ponuđeni obim godišnje rudarske proizvodnje </w:t>
            </w:r>
          </w:p>
        </w:tc>
        <w:tc>
          <w:tcPr>
            <w:tcW w:w="1638" w:type="dxa"/>
            <w:tcBorders>
              <w:left w:val="double" w:sz="4" w:space="0" w:color="auto"/>
              <w:right w:val="double" w:sz="4" w:space="0" w:color="auto"/>
            </w:tcBorders>
          </w:tcPr>
          <w:p w:rsidR="0046570D" w:rsidRPr="002A0BEE" w:rsidRDefault="0046570D" w:rsidP="002A0BEE">
            <w:pPr>
              <w:spacing w:after="200" w:line="276" w:lineRule="auto"/>
              <w:jc w:val="center"/>
              <w:rPr>
                <w:rFonts w:asciiTheme="majorHAnsi" w:hAnsiTheme="majorHAnsi" w:cstheme="minorHAnsi"/>
                <w:sz w:val="24"/>
                <w:szCs w:val="24"/>
                <w:lang w:val="sr-Latn-CS"/>
              </w:rPr>
            </w:pPr>
            <w:r w:rsidRPr="002A0BEE">
              <w:rPr>
                <w:rFonts w:asciiTheme="majorHAnsi" w:hAnsiTheme="majorHAnsi" w:cstheme="minorHAnsi"/>
                <w:sz w:val="24"/>
                <w:szCs w:val="24"/>
                <w:lang w:val="sr-Latn-CS"/>
              </w:rPr>
              <w:t>20</w:t>
            </w:r>
          </w:p>
        </w:tc>
      </w:tr>
      <w:tr w:rsidR="0046570D" w:rsidRPr="002A0BEE" w:rsidTr="002A0BEE">
        <w:tc>
          <w:tcPr>
            <w:tcW w:w="648" w:type="dxa"/>
            <w:tcBorders>
              <w:left w:val="doub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b/>
                <w:sz w:val="24"/>
                <w:szCs w:val="24"/>
                <w:lang w:val="sr-Latn-CS"/>
              </w:rPr>
            </w:pPr>
            <w:r w:rsidRPr="002A0BEE">
              <w:rPr>
                <w:rFonts w:asciiTheme="majorHAnsi" w:hAnsiTheme="majorHAnsi" w:cstheme="minorHAnsi"/>
                <w:b/>
                <w:sz w:val="24"/>
                <w:szCs w:val="24"/>
                <w:lang w:val="sr-Latn-CS"/>
              </w:rPr>
              <w:t xml:space="preserve">   3</w:t>
            </w:r>
          </w:p>
        </w:tc>
        <w:tc>
          <w:tcPr>
            <w:tcW w:w="7290" w:type="dxa"/>
            <w:tcBorders>
              <w:left w:val="doub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sz w:val="24"/>
                <w:szCs w:val="24"/>
                <w:lang w:val="sr-Latn-CS"/>
              </w:rPr>
            </w:pPr>
            <w:r w:rsidRPr="002A0BEE">
              <w:rPr>
                <w:rFonts w:asciiTheme="majorHAnsi" w:hAnsiTheme="majorHAnsi" w:cstheme="minorHAnsi"/>
                <w:sz w:val="24"/>
                <w:szCs w:val="24"/>
                <w:lang w:val="sr-Latn-CS"/>
              </w:rPr>
              <w:t xml:space="preserve">Reference ponuđača </w:t>
            </w:r>
          </w:p>
        </w:tc>
        <w:tc>
          <w:tcPr>
            <w:tcW w:w="1638" w:type="dxa"/>
            <w:tcBorders>
              <w:left w:val="double" w:sz="4" w:space="0" w:color="auto"/>
              <w:right w:val="double" w:sz="4" w:space="0" w:color="auto"/>
            </w:tcBorders>
          </w:tcPr>
          <w:p w:rsidR="0046570D" w:rsidRPr="002A0BEE" w:rsidRDefault="0046570D" w:rsidP="002A0BEE">
            <w:pPr>
              <w:spacing w:after="200" w:line="276" w:lineRule="auto"/>
              <w:jc w:val="center"/>
              <w:rPr>
                <w:rFonts w:asciiTheme="majorHAnsi" w:hAnsiTheme="majorHAnsi" w:cstheme="minorHAnsi"/>
                <w:sz w:val="24"/>
                <w:szCs w:val="24"/>
                <w:lang w:val="sr-Latn-CS"/>
              </w:rPr>
            </w:pPr>
            <w:r w:rsidRPr="002A0BEE">
              <w:rPr>
                <w:rFonts w:asciiTheme="majorHAnsi" w:hAnsiTheme="majorHAnsi" w:cstheme="minorHAnsi"/>
                <w:sz w:val="24"/>
                <w:szCs w:val="24"/>
                <w:lang w:val="sr-Latn-CS"/>
              </w:rPr>
              <w:t>20</w:t>
            </w:r>
          </w:p>
        </w:tc>
      </w:tr>
      <w:tr w:rsidR="0046570D" w:rsidRPr="002A0BEE" w:rsidTr="002A0BEE">
        <w:tc>
          <w:tcPr>
            <w:tcW w:w="648" w:type="dxa"/>
            <w:tcBorders>
              <w:left w:val="doub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b/>
                <w:sz w:val="24"/>
                <w:szCs w:val="24"/>
                <w:lang w:val="sr-Latn-CS"/>
              </w:rPr>
            </w:pPr>
            <w:r w:rsidRPr="002A0BEE">
              <w:rPr>
                <w:rFonts w:asciiTheme="majorHAnsi" w:hAnsiTheme="majorHAnsi" w:cstheme="minorHAnsi"/>
                <w:b/>
                <w:sz w:val="24"/>
                <w:szCs w:val="24"/>
                <w:lang w:val="sr-Latn-CS"/>
              </w:rPr>
              <w:t xml:space="preserve">   4</w:t>
            </w:r>
          </w:p>
        </w:tc>
        <w:tc>
          <w:tcPr>
            <w:tcW w:w="7290" w:type="dxa"/>
            <w:tcBorders>
              <w:left w:val="doub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sz w:val="24"/>
                <w:szCs w:val="24"/>
                <w:lang w:val="sr-Latn-CS"/>
              </w:rPr>
            </w:pPr>
            <w:r w:rsidRPr="002A0BEE">
              <w:rPr>
                <w:rFonts w:asciiTheme="majorHAnsi" w:hAnsiTheme="majorHAnsi" w:cstheme="minorHAnsi"/>
                <w:sz w:val="24"/>
                <w:szCs w:val="24"/>
                <w:lang w:val="sr-Latn-CS"/>
              </w:rPr>
              <w:t>Finansijski aspekt-prosječni bruto prihod u posljednje tri godine</w:t>
            </w:r>
          </w:p>
        </w:tc>
        <w:tc>
          <w:tcPr>
            <w:tcW w:w="1638" w:type="dxa"/>
            <w:tcBorders>
              <w:left w:val="double" w:sz="4" w:space="0" w:color="auto"/>
              <w:right w:val="double" w:sz="4" w:space="0" w:color="auto"/>
            </w:tcBorders>
          </w:tcPr>
          <w:p w:rsidR="0046570D" w:rsidRPr="002A0BEE" w:rsidRDefault="0046570D" w:rsidP="002A0BEE">
            <w:pPr>
              <w:spacing w:after="200" w:line="276" w:lineRule="auto"/>
              <w:jc w:val="center"/>
              <w:rPr>
                <w:rFonts w:asciiTheme="majorHAnsi" w:hAnsiTheme="majorHAnsi" w:cstheme="minorHAnsi"/>
                <w:sz w:val="24"/>
                <w:szCs w:val="24"/>
                <w:lang w:val="sr-Latn-CS"/>
              </w:rPr>
            </w:pPr>
            <w:r w:rsidRPr="002A0BEE">
              <w:rPr>
                <w:rFonts w:asciiTheme="majorHAnsi" w:hAnsiTheme="majorHAnsi" w:cstheme="minorHAnsi"/>
                <w:sz w:val="24"/>
                <w:szCs w:val="24"/>
                <w:lang w:val="sr-Latn-CS"/>
              </w:rPr>
              <w:t>5</w:t>
            </w:r>
          </w:p>
        </w:tc>
      </w:tr>
      <w:tr w:rsidR="0046570D" w:rsidRPr="002A0BEE" w:rsidTr="002A0BEE">
        <w:tc>
          <w:tcPr>
            <w:tcW w:w="648" w:type="dxa"/>
            <w:tcBorders>
              <w:left w:val="doub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b/>
                <w:sz w:val="24"/>
                <w:szCs w:val="24"/>
                <w:lang w:val="sr-Latn-CS"/>
              </w:rPr>
            </w:pPr>
            <w:r w:rsidRPr="002A0BEE">
              <w:rPr>
                <w:rFonts w:asciiTheme="majorHAnsi" w:hAnsiTheme="majorHAnsi" w:cstheme="minorHAnsi"/>
                <w:b/>
                <w:sz w:val="24"/>
                <w:szCs w:val="24"/>
                <w:lang w:val="sr-Latn-CS"/>
              </w:rPr>
              <w:t xml:space="preserve">   5</w:t>
            </w:r>
          </w:p>
        </w:tc>
        <w:tc>
          <w:tcPr>
            <w:tcW w:w="7290" w:type="dxa"/>
            <w:tcBorders>
              <w:left w:val="doub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sz w:val="24"/>
                <w:szCs w:val="24"/>
                <w:lang w:val="sr-Latn-CS"/>
              </w:rPr>
            </w:pPr>
            <w:r w:rsidRPr="002A0BEE">
              <w:rPr>
                <w:rFonts w:asciiTheme="majorHAnsi" w:hAnsiTheme="majorHAnsi" w:cstheme="minorHAnsi"/>
                <w:sz w:val="24"/>
                <w:szCs w:val="24"/>
                <w:lang w:val="sr-Latn-CS"/>
              </w:rPr>
              <w:t>Finansijski aspekt-prosječni profit u posljednje tri godine</w:t>
            </w:r>
          </w:p>
        </w:tc>
        <w:tc>
          <w:tcPr>
            <w:tcW w:w="1638" w:type="dxa"/>
            <w:tcBorders>
              <w:left w:val="double" w:sz="4" w:space="0" w:color="auto"/>
              <w:right w:val="double" w:sz="4" w:space="0" w:color="auto"/>
            </w:tcBorders>
          </w:tcPr>
          <w:p w:rsidR="0046570D" w:rsidRPr="002A0BEE" w:rsidRDefault="0046570D" w:rsidP="002A0BEE">
            <w:pPr>
              <w:spacing w:after="200" w:line="276" w:lineRule="auto"/>
              <w:jc w:val="center"/>
              <w:rPr>
                <w:rFonts w:asciiTheme="majorHAnsi" w:hAnsiTheme="majorHAnsi" w:cstheme="minorHAnsi"/>
                <w:sz w:val="24"/>
                <w:szCs w:val="24"/>
                <w:lang w:val="sr-Latn-CS"/>
              </w:rPr>
            </w:pPr>
            <w:r w:rsidRPr="002A0BEE">
              <w:rPr>
                <w:rFonts w:asciiTheme="majorHAnsi" w:hAnsiTheme="majorHAnsi" w:cstheme="minorHAnsi"/>
                <w:sz w:val="24"/>
                <w:szCs w:val="24"/>
                <w:lang w:val="sr-Latn-CS"/>
              </w:rPr>
              <w:t>5</w:t>
            </w:r>
          </w:p>
        </w:tc>
      </w:tr>
      <w:tr w:rsidR="0046570D" w:rsidRPr="002A0BEE" w:rsidTr="002A0BEE">
        <w:tc>
          <w:tcPr>
            <w:tcW w:w="648" w:type="dxa"/>
            <w:tcBorders>
              <w:left w:val="doub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b/>
                <w:sz w:val="24"/>
                <w:szCs w:val="24"/>
                <w:lang w:val="sr-Latn-CS"/>
              </w:rPr>
            </w:pPr>
            <w:r w:rsidRPr="002A0BEE">
              <w:rPr>
                <w:rFonts w:asciiTheme="majorHAnsi" w:hAnsiTheme="majorHAnsi" w:cstheme="minorHAnsi"/>
                <w:b/>
                <w:sz w:val="24"/>
                <w:szCs w:val="24"/>
                <w:lang w:val="sr-Latn-CS"/>
              </w:rPr>
              <w:t xml:space="preserve">   6</w:t>
            </w:r>
          </w:p>
        </w:tc>
        <w:tc>
          <w:tcPr>
            <w:tcW w:w="7290" w:type="dxa"/>
            <w:tcBorders>
              <w:left w:val="double" w:sz="4" w:space="0" w:color="auto"/>
              <w:right w:val="double" w:sz="4" w:space="0" w:color="auto"/>
            </w:tcBorders>
          </w:tcPr>
          <w:p w:rsidR="0046570D" w:rsidRPr="002A0BEE" w:rsidRDefault="0046570D" w:rsidP="002A0BEE">
            <w:pPr>
              <w:spacing w:after="200" w:line="276" w:lineRule="auto"/>
              <w:jc w:val="both"/>
              <w:rPr>
                <w:rFonts w:asciiTheme="majorHAnsi" w:hAnsiTheme="majorHAnsi" w:cstheme="minorHAnsi"/>
                <w:sz w:val="24"/>
                <w:szCs w:val="24"/>
                <w:lang w:val="sr-Latn-CS"/>
              </w:rPr>
            </w:pPr>
            <w:r w:rsidRPr="002A0BEE">
              <w:rPr>
                <w:rFonts w:asciiTheme="majorHAnsi" w:hAnsiTheme="majorHAnsi" w:cstheme="minorHAnsi"/>
                <w:sz w:val="24"/>
                <w:szCs w:val="24"/>
                <w:lang w:val="sr-Latn-CS"/>
              </w:rPr>
              <w:t>Kvalitet poslovnog plana i efekti na zapošljavanje i ekononomski razvoj</w:t>
            </w:r>
          </w:p>
        </w:tc>
        <w:tc>
          <w:tcPr>
            <w:tcW w:w="1638" w:type="dxa"/>
            <w:tcBorders>
              <w:left w:val="double" w:sz="4" w:space="0" w:color="auto"/>
              <w:right w:val="double" w:sz="4" w:space="0" w:color="auto"/>
            </w:tcBorders>
          </w:tcPr>
          <w:p w:rsidR="0046570D" w:rsidRPr="002A0BEE" w:rsidRDefault="0046570D" w:rsidP="002A0BEE">
            <w:pPr>
              <w:spacing w:after="200" w:line="276" w:lineRule="auto"/>
              <w:jc w:val="center"/>
              <w:rPr>
                <w:rFonts w:asciiTheme="majorHAnsi" w:hAnsiTheme="majorHAnsi" w:cstheme="minorHAnsi"/>
                <w:sz w:val="24"/>
                <w:szCs w:val="24"/>
                <w:lang w:val="sr-Latn-CS"/>
              </w:rPr>
            </w:pPr>
            <w:r w:rsidRPr="002A0BEE">
              <w:rPr>
                <w:rFonts w:asciiTheme="majorHAnsi" w:hAnsiTheme="majorHAnsi" w:cstheme="minorHAnsi"/>
                <w:sz w:val="24"/>
                <w:szCs w:val="24"/>
                <w:lang w:val="sr-Latn-CS"/>
              </w:rPr>
              <w:t>10</w:t>
            </w:r>
          </w:p>
        </w:tc>
      </w:tr>
    </w:tbl>
    <w:p w:rsidR="0046570D" w:rsidRPr="002A0BEE" w:rsidRDefault="0046570D" w:rsidP="0046570D">
      <w:pPr>
        <w:jc w:val="both"/>
        <w:rPr>
          <w:rFonts w:asciiTheme="majorHAnsi" w:hAnsiTheme="majorHAnsi" w:cstheme="minorHAnsi"/>
          <w:b/>
          <w:szCs w:val="24"/>
          <w:lang w:val="sr-Latn-CS"/>
        </w:rPr>
      </w:pPr>
    </w:p>
    <w:p w:rsidR="0046570D" w:rsidRPr="002A0BEE" w:rsidRDefault="0046570D" w:rsidP="0055031D">
      <w:pPr>
        <w:pStyle w:val="ListParagraph"/>
        <w:keepNext/>
        <w:numPr>
          <w:ilvl w:val="0"/>
          <w:numId w:val="47"/>
        </w:numPr>
        <w:contextualSpacing w:val="0"/>
        <w:jc w:val="both"/>
        <w:outlineLvl w:val="1"/>
        <w:rPr>
          <w:rFonts w:asciiTheme="majorHAnsi" w:eastAsiaTheme="majorEastAsia" w:hAnsiTheme="majorHAnsi" w:cstheme="minorHAnsi"/>
          <w:b/>
          <w:bCs/>
          <w:vanish/>
          <w:color w:val="000000" w:themeColor="text1"/>
          <w:szCs w:val="24"/>
          <w:lang w:val="sr-Latn-CS"/>
        </w:rPr>
      </w:pPr>
      <w:bookmarkStart w:id="136" w:name="_Toc436090813"/>
      <w:bookmarkStart w:id="137" w:name="_Toc436124893"/>
      <w:bookmarkEnd w:id="136"/>
      <w:bookmarkEnd w:id="137"/>
    </w:p>
    <w:p w:rsidR="0046570D" w:rsidRPr="002A0BEE" w:rsidRDefault="0046570D" w:rsidP="0055031D">
      <w:pPr>
        <w:pStyle w:val="ListParagraph"/>
        <w:keepNext/>
        <w:numPr>
          <w:ilvl w:val="0"/>
          <w:numId w:val="47"/>
        </w:numPr>
        <w:contextualSpacing w:val="0"/>
        <w:jc w:val="both"/>
        <w:outlineLvl w:val="1"/>
        <w:rPr>
          <w:rFonts w:asciiTheme="majorHAnsi" w:eastAsiaTheme="majorEastAsia" w:hAnsiTheme="majorHAnsi" w:cstheme="minorHAnsi"/>
          <w:b/>
          <w:bCs/>
          <w:vanish/>
          <w:color w:val="000000" w:themeColor="text1"/>
          <w:szCs w:val="24"/>
          <w:lang w:val="sr-Latn-CS"/>
        </w:rPr>
      </w:pPr>
      <w:bookmarkStart w:id="138" w:name="_Toc436090814"/>
      <w:bookmarkStart w:id="139" w:name="_Toc436124894"/>
      <w:bookmarkEnd w:id="138"/>
      <w:bookmarkEnd w:id="139"/>
    </w:p>
    <w:p w:rsidR="0046570D" w:rsidRPr="002A0BEE" w:rsidRDefault="0046570D" w:rsidP="0055031D">
      <w:pPr>
        <w:pStyle w:val="ListParagraph"/>
        <w:keepNext/>
        <w:numPr>
          <w:ilvl w:val="0"/>
          <w:numId w:val="47"/>
        </w:numPr>
        <w:contextualSpacing w:val="0"/>
        <w:jc w:val="both"/>
        <w:outlineLvl w:val="1"/>
        <w:rPr>
          <w:rFonts w:asciiTheme="majorHAnsi" w:eastAsiaTheme="majorEastAsia" w:hAnsiTheme="majorHAnsi" w:cstheme="minorHAnsi"/>
          <w:b/>
          <w:bCs/>
          <w:vanish/>
          <w:color w:val="000000" w:themeColor="text1"/>
          <w:szCs w:val="24"/>
          <w:lang w:val="sr-Latn-CS"/>
        </w:rPr>
      </w:pPr>
      <w:bookmarkStart w:id="140" w:name="_Toc436090815"/>
      <w:bookmarkStart w:id="141" w:name="_Toc436124895"/>
      <w:bookmarkEnd w:id="140"/>
      <w:bookmarkEnd w:id="141"/>
    </w:p>
    <w:p w:rsidR="0046570D" w:rsidRPr="002A0BEE" w:rsidRDefault="0046570D" w:rsidP="0055031D">
      <w:pPr>
        <w:pStyle w:val="ListParagraph"/>
        <w:keepNext/>
        <w:numPr>
          <w:ilvl w:val="0"/>
          <w:numId w:val="47"/>
        </w:numPr>
        <w:contextualSpacing w:val="0"/>
        <w:jc w:val="both"/>
        <w:outlineLvl w:val="1"/>
        <w:rPr>
          <w:rFonts w:asciiTheme="majorHAnsi" w:eastAsiaTheme="majorEastAsia" w:hAnsiTheme="majorHAnsi" w:cstheme="minorHAnsi"/>
          <w:b/>
          <w:bCs/>
          <w:vanish/>
          <w:color w:val="000000" w:themeColor="text1"/>
          <w:szCs w:val="24"/>
          <w:lang w:val="sr-Latn-CS"/>
        </w:rPr>
      </w:pPr>
      <w:bookmarkStart w:id="142" w:name="_Toc436090816"/>
      <w:bookmarkStart w:id="143" w:name="_Toc436124896"/>
      <w:bookmarkEnd w:id="142"/>
      <w:bookmarkEnd w:id="143"/>
    </w:p>
    <w:p w:rsidR="0046570D" w:rsidRPr="002A0BEE" w:rsidRDefault="0046570D" w:rsidP="0055031D">
      <w:pPr>
        <w:pStyle w:val="ListParagraph"/>
        <w:keepNext/>
        <w:numPr>
          <w:ilvl w:val="0"/>
          <w:numId w:val="47"/>
        </w:numPr>
        <w:contextualSpacing w:val="0"/>
        <w:jc w:val="both"/>
        <w:outlineLvl w:val="1"/>
        <w:rPr>
          <w:rFonts w:asciiTheme="majorHAnsi" w:eastAsiaTheme="majorEastAsia" w:hAnsiTheme="majorHAnsi" w:cstheme="minorHAnsi"/>
          <w:b/>
          <w:bCs/>
          <w:vanish/>
          <w:color w:val="000000" w:themeColor="text1"/>
          <w:szCs w:val="24"/>
          <w:lang w:val="sr-Latn-CS"/>
        </w:rPr>
      </w:pPr>
      <w:bookmarkStart w:id="144" w:name="_Toc436090817"/>
      <w:bookmarkStart w:id="145" w:name="_Toc436124897"/>
      <w:bookmarkEnd w:id="144"/>
      <w:bookmarkEnd w:id="145"/>
    </w:p>
    <w:p w:rsidR="002A0BEE" w:rsidRPr="002A0BEE" w:rsidRDefault="0046570D" w:rsidP="0055031D">
      <w:pPr>
        <w:pStyle w:val="Heading2"/>
        <w:keepLines w:val="0"/>
        <w:numPr>
          <w:ilvl w:val="1"/>
          <w:numId w:val="47"/>
        </w:numPr>
        <w:spacing w:before="0" w:after="200"/>
        <w:jc w:val="both"/>
        <w:rPr>
          <w:rFonts w:cstheme="minorHAnsi"/>
          <w:i/>
          <w:szCs w:val="24"/>
          <w:lang w:val="sr-Latn-CS"/>
        </w:rPr>
      </w:pPr>
      <w:bookmarkStart w:id="146" w:name="_Toc436124898"/>
      <w:r w:rsidRPr="002A0BEE">
        <w:rPr>
          <w:rFonts w:cstheme="minorHAnsi"/>
          <w:szCs w:val="24"/>
          <w:lang w:val="sr-Latn-CS"/>
        </w:rPr>
        <w:t>Ponuđeni procentualni iznos za obračun koncesione naknade</w:t>
      </w:r>
      <w:bookmarkEnd w:id="146"/>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b/>
          <w:szCs w:val="24"/>
          <w:lang w:val="sr-Latn-CS"/>
        </w:rPr>
        <w:t>Tačkom 9.1.2 Koncesionog akta – Pripadnost grupi ležišta</w:t>
      </w:r>
      <w:r w:rsidRPr="002A0BEE">
        <w:rPr>
          <w:rFonts w:asciiTheme="majorHAnsi" w:hAnsiTheme="majorHAnsi" w:cstheme="minorHAnsi"/>
          <w:szCs w:val="24"/>
          <w:lang w:val="sr-Latn-CS"/>
        </w:rPr>
        <w:t>, je definisano da ležište arhitektonsko-građevinskog (ukrasnog) kamena i tehničko-građevinskog kamena „Visočica“, na osnovu postojećih karakteristika i očekivanih uslova za eksploataciju, svrstano je u treću grupu geogenih ležišta (G</w:t>
      </w:r>
      <w:r w:rsidRPr="002A0BEE">
        <w:rPr>
          <w:rFonts w:asciiTheme="majorHAnsi" w:hAnsiTheme="majorHAnsi" w:cstheme="minorHAnsi"/>
          <w:szCs w:val="24"/>
          <w:vertAlign w:val="subscript"/>
          <w:lang w:val="sr-Latn-CS"/>
        </w:rPr>
        <w:t>3</w:t>
      </w:r>
      <w:r w:rsidRPr="002A0BEE">
        <w:rPr>
          <w:rFonts w:asciiTheme="majorHAnsi" w:hAnsiTheme="majorHAnsi" w:cstheme="minorHAnsi"/>
          <w:szCs w:val="24"/>
          <w:lang w:val="sr-Latn-CS"/>
        </w:rPr>
        <w:t>).</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Pr="002A0BEE">
        <w:rPr>
          <w:rFonts w:asciiTheme="majorHAnsi" w:hAnsiTheme="majorHAnsi" w:cstheme="minorHAnsi"/>
          <w:b/>
          <w:szCs w:val="24"/>
          <w:lang w:val="sr-Latn-CS"/>
        </w:rPr>
        <w:t>7%</w:t>
      </w:r>
      <w:r w:rsidRPr="002A0BEE">
        <w:rPr>
          <w:rFonts w:asciiTheme="majorHAnsi" w:hAnsiTheme="majorHAnsi" w:cstheme="minorHAnsi"/>
          <w:szCs w:val="24"/>
          <w:lang w:val="sr-Latn-CS"/>
        </w:rPr>
        <w:t xml:space="preserve"> od tržišne vrijednosti bilansnih ili eksploatacionih rezervi arhitektonsko-građevinskog (ukrasnog) kamena, odnosno ukupnog tržišnog proizvoda, za koncesioni period za eksploataciju od 30 godina.</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Ponuđači mogu ponuditi procentni iznos tržišne vrijednosti bilansnih ili eksploatacionih rezervi arhitektonsko-građevinskog (ukrasnog) kamena i tehničko-građevinskog kamena koje je jednak ili veći od 7%.</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Ovaj kriterijum se izračunava na sljedeći način:</w:t>
      </w:r>
    </w:p>
    <w:p w:rsidR="0046570D" w:rsidRPr="002A0BEE" w:rsidRDefault="0046570D" w:rsidP="0046570D">
      <w:pPr>
        <w:jc w:val="both"/>
        <w:rPr>
          <w:rFonts w:asciiTheme="majorHAnsi" w:hAnsiTheme="majorHAnsi" w:cstheme="minorHAnsi"/>
          <w:b/>
          <w:szCs w:val="24"/>
          <w:lang w:val="sr-Latn-CS"/>
        </w:rPr>
      </w:pPr>
      <w:r w:rsidRPr="002A0BEE">
        <w:rPr>
          <w:rFonts w:asciiTheme="majorHAnsi" w:hAnsiTheme="majorHAnsi" w:cstheme="minorHAnsi"/>
          <w:b/>
          <w:szCs w:val="24"/>
          <w:lang w:val="sr-Latn-CS"/>
        </w:rPr>
        <w:t>Kriterijum: P % / MP% x 40</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gdje:</w:t>
      </w:r>
    </w:p>
    <w:p w:rsidR="0046570D" w:rsidRPr="002A0BEE" w:rsidRDefault="0046570D" w:rsidP="0046570D">
      <w:pPr>
        <w:spacing w:after="0"/>
        <w:jc w:val="both"/>
        <w:rPr>
          <w:rFonts w:asciiTheme="majorHAnsi" w:hAnsiTheme="majorHAnsi" w:cstheme="minorHAnsi"/>
          <w:szCs w:val="24"/>
          <w:lang w:val="sr-Latn-CS"/>
        </w:rPr>
      </w:pPr>
      <w:r w:rsidRPr="002A0BEE">
        <w:rPr>
          <w:rFonts w:asciiTheme="majorHAnsi" w:hAnsiTheme="majorHAnsi" w:cstheme="minorHAnsi"/>
          <w:b/>
          <w:szCs w:val="24"/>
          <w:lang w:val="sr-Latn-CS"/>
        </w:rPr>
        <w:lastRenderedPageBreak/>
        <w:t>P%</w:t>
      </w:r>
      <w:r w:rsidRPr="002A0BEE">
        <w:rPr>
          <w:rFonts w:asciiTheme="majorHAnsi" w:hAnsiTheme="majorHAnsi" w:cstheme="minorHAnsi"/>
          <w:szCs w:val="24"/>
          <w:lang w:val="sr-Latn-CS"/>
        </w:rPr>
        <w:t xml:space="preserve"> - označava % ponuđača</w:t>
      </w:r>
    </w:p>
    <w:p w:rsidR="0046570D" w:rsidRPr="002A0BEE" w:rsidRDefault="0046570D" w:rsidP="0046570D">
      <w:pPr>
        <w:spacing w:after="0"/>
        <w:jc w:val="both"/>
        <w:rPr>
          <w:rFonts w:asciiTheme="majorHAnsi" w:hAnsiTheme="majorHAnsi" w:cstheme="minorHAnsi"/>
          <w:szCs w:val="24"/>
          <w:lang w:val="sr-Latn-CS"/>
        </w:rPr>
      </w:pPr>
      <w:r w:rsidRPr="002A0BEE">
        <w:rPr>
          <w:rFonts w:asciiTheme="majorHAnsi" w:hAnsiTheme="majorHAnsi" w:cstheme="minorHAnsi"/>
          <w:b/>
          <w:szCs w:val="24"/>
          <w:lang w:val="sr-Latn-CS"/>
        </w:rPr>
        <w:t>MP %</w:t>
      </w:r>
      <w:r w:rsidRPr="002A0BEE">
        <w:rPr>
          <w:rFonts w:asciiTheme="majorHAnsi" w:hAnsiTheme="majorHAnsi" w:cstheme="minorHAnsi"/>
          <w:szCs w:val="24"/>
          <w:lang w:val="sr-Latn-CS"/>
        </w:rPr>
        <w:t xml:space="preserve"> - označava maskimalno ponuđeni % na tederu</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b/>
          <w:szCs w:val="24"/>
          <w:lang w:val="sr-Latn-CS"/>
        </w:rPr>
        <w:t>40</w:t>
      </w:r>
      <w:r w:rsidRPr="002A0BEE">
        <w:rPr>
          <w:rFonts w:asciiTheme="majorHAnsi" w:hAnsiTheme="majorHAnsi" w:cstheme="minorHAnsi"/>
          <w:szCs w:val="24"/>
          <w:lang w:val="sr-Latn-CS"/>
        </w:rPr>
        <w:t xml:space="preserve"> – broj bodova za ovaj kriterijum </w:t>
      </w:r>
    </w:p>
    <w:p w:rsidR="002A0BEE" w:rsidRPr="002A0BEE" w:rsidRDefault="0046570D" w:rsidP="0055031D">
      <w:pPr>
        <w:pStyle w:val="Heading2"/>
        <w:keepLines w:val="0"/>
        <w:numPr>
          <w:ilvl w:val="1"/>
          <w:numId w:val="47"/>
        </w:numPr>
        <w:spacing w:before="0" w:after="200"/>
        <w:jc w:val="both"/>
        <w:rPr>
          <w:rFonts w:cstheme="minorHAnsi"/>
          <w:i/>
          <w:szCs w:val="24"/>
          <w:lang w:val="sr-Latn-CS"/>
        </w:rPr>
      </w:pPr>
      <w:bookmarkStart w:id="147" w:name="_Toc436124899"/>
      <w:r w:rsidRPr="002A0BEE">
        <w:rPr>
          <w:rFonts w:cstheme="minorHAnsi"/>
          <w:szCs w:val="24"/>
          <w:lang w:val="sr-Latn-CS"/>
        </w:rPr>
        <w:t>Ponuđeni ukupni obim rudarske proizvodnje</w:t>
      </w:r>
      <w:bookmarkEnd w:id="147"/>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b/>
          <w:bCs/>
          <w:szCs w:val="24"/>
          <w:lang w:val="sr-Latn-CS"/>
        </w:rPr>
        <w:t xml:space="preserve">Tačkom 9.1.1. Koncesionog akta - Rezerve mineralne sirovine, </w:t>
      </w:r>
      <w:r w:rsidRPr="002A0BEE">
        <w:rPr>
          <w:rFonts w:asciiTheme="majorHAnsi" w:hAnsiTheme="majorHAnsi" w:cstheme="minorHAnsi"/>
          <w:bCs/>
          <w:szCs w:val="24"/>
          <w:lang w:val="sr-Latn-CS"/>
        </w:rPr>
        <w:t>je definisano da</w:t>
      </w:r>
      <w:r w:rsidRPr="002A0BEE">
        <w:rPr>
          <w:rFonts w:asciiTheme="majorHAnsi" w:hAnsiTheme="majorHAnsi" w:cstheme="minorHAnsi"/>
          <w:b/>
          <w:bCs/>
          <w:szCs w:val="24"/>
          <w:lang w:val="sr-Latn-CS"/>
        </w:rPr>
        <w:t xml:space="preserve"> na osnovu</w:t>
      </w:r>
      <w:r w:rsidRPr="002A0BEE">
        <w:rPr>
          <w:rFonts w:asciiTheme="majorHAnsi" w:hAnsiTheme="majorHAnsi" w:cstheme="minorHAnsi"/>
          <w:szCs w:val="24"/>
          <w:lang w:val="sr-Latn-CS"/>
        </w:rPr>
        <w:t xml:space="preserve"> minimalnog godišnjeg kapaciteta proizvodnje od oko 9.091 m</w:t>
      </w:r>
      <w:r w:rsidRPr="002A0BEE">
        <w:rPr>
          <w:rFonts w:asciiTheme="majorHAnsi" w:hAnsiTheme="majorHAnsi" w:cstheme="minorHAnsi"/>
          <w:szCs w:val="24"/>
          <w:vertAlign w:val="superscript"/>
          <w:lang w:val="sr-Latn-CS"/>
        </w:rPr>
        <w:t xml:space="preserve">3 </w:t>
      </w:r>
      <w:r w:rsidRPr="002A0BEE">
        <w:rPr>
          <w:rFonts w:asciiTheme="majorHAnsi" w:hAnsiTheme="majorHAnsi" w:cstheme="minorHAnsi"/>
          <w:szCs w:val="24"/>
          <w:lang w:val="sr-Latn-CS"/>
        </w:rPr>
        <w:t>č.s.m., odnosno (uz iskoršćenje od 22 % č.s.m.) 2.000 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tombolona i komercijalnog bloka,</w:t>
      </w:r>
      <w:r w:rsidRPr="002A0BEE">
        <w:rPr>
          <w:rFonts w:asciiTheme="majorHAnsi" w:hAnsiTheme="majorHAnsi" w:cstheme="minorHAnsi"/>
          <w:b/>
          <w:szCs w:val="24"/>
          <w:lang w:val="sr-Latn-CS"/>
        </w:rPr>
        <w:t xml:space="preserve"> </w:t>
      </w:r>
      <w:r w:rsidRPr="002A0BEE">
        <w:rPr>
          <w:rFonts w:asciiTheme="majorHAnsi" w:hAnsiTheme="majorHAnsi" w:cstheme="minorHAnsi"/>
          <w:szCs w:val="24"/>
          <w:lang w:val="sr-Latn-CS"/>
        </w:rPr>
        <w:t>za period od 30 godina, otkopalo bi se oko 272.730 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č.s.m, odnosno proizvelo bi se 60.000 m</w:t>
      </w:r>
      <w:r w:rsidRPr="002A0BEE">
        <w:rPr>
          <w:rFonts w:asciiTheme="majorHAnsi" w:hAnsiTheme="majorHAnsi" w:cstheme="minorHAnsi"/>
          <w:szCs w:val="24"/>
          <w:vertAlign w:val="superscript"/>
          <w:lang w:val="sr-Latn-CS"/>
        </w:rPr>
        <w:t>3</w:t>
      </w:r>
      <w:r w:rsidRPr="002A0BEE">
        <w:rPr>
          <w:rFonts w:asciiTheme="majorHAnsi" w:hAnsiTheme="majorHAnsi" w:cstheme="minorHAnsi"/>
          <w:szCs w:val="24"/>
          <w:lang w:val="sr-Latn-CS"/>
        </w:rPr>
        <w:t xml:space="preserve"> tombolona i komercijalnog bloka kao tržišnog prozvoda.</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Ponuđači mogu ponuditi obim godišnje proizvodnje koji je jednak ili veći od od </w:t>
      </w:r>
      <w:r w:rsidRPr="002A0BEE">
        <w:rPr>
          <w:rFonts w:asciiTheme="majorHAnsi" w:hAnsiTheme="majorHAnsi" w:cstheme="minorHAnsi"/>
          <w:b/>
          <w:szCs w:val="24"/>
          <w:lang w:val="sr-Latn-CS"/>
        </w:rPr>
        <w:t>9.091</w:t>
      </w:r>
      <w:r w:rsidRPr="002A0BEE">
        <w:rPr>
          <w:rFonts w:asciiTheme="majorHAnsi" w:hAnsiTheme="majorHAnsi" w:cstheme="minorHAnsi"/>
          <w:szCs w:val="24"/>
          <w:lang w:val="sr-Latn-CS"/>
        </w:rPr>
        <w:t xml:space="preserve"> </w:t>
      </w:r>
      <w:r w:rsidRPr="002A0BEE">
        <w:rPr>
          <w:rFonts w:asciiTheme="majorHAnsi" w:hAnsiTheme="majorHAnsi" w:cstheme="minorHAnsi"/>
          <w:b/>
          <w:szCs w:val="24"/>
          <w:lang w:val="sr-Latn-CS"/>
        </w:rPr>
        <w:t xml:space="preserve"> m</w:t>
      </w:r>
      <w:r w:rsidRPr="002A0BEE">
        <w:rPr>
          <w:rFonts w:asciiTheme="majorHAnsi" w:hAnsiTheme="majorHAnsi" w:cstheme="minorHAnsi"/>
          <w:b/>
          <w:szCs w:val="24"/>
          <w:vertAlign w:val="superscript"/>
          <w:lang w:val="sr-Latn-CS"/>
        </w:rPr>
        <w:t>3</w:t>
      </w:r>
      <w:r w:rsidRPr="002A0BEE">
        <w:rPr>
          <w:rFonts w:asciiTheme="majorHAnsi" w:hAnsiTheme="majorHAnsi" w:cstheme="minorHAnsi"/>
          <w:b/>
          <w:szCs w:val="24"/>
          <w:lang w:val="sr-Latn-CS"/>
        </w:rPr>
        <w:t xml:space="preserve"> č.s.m</w:t>
      </w:r>
      <w:r w:rsidRPr="002A0BEE">
        <w:rPr>
          <w:rFonts w:asciiTheme="majorHAnsi" w:hAnsiTheme="majorHAnsi" w:cstheme="minorHAnsi"/>
          <w:szCs w:val="24"/>
          <w:lang w:val="sr-Latn-CS"/>
        </w:rPr>
        <w:t>.</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Ovaj kriterijum se izračunava na sljedeći način:</w:t>
      </w:r>
    </w:p>
    <w:p w:rsidR="0046570D" w:rsidRPr="002A0BEE" w:rsidRDefault="00574D84" w:rsidP="0046570D">
      <w:pPr>
        <w:jc w:val="both"/>
        <w:rPr>
          <w:rFonts w:asciiTheme="majorHAnsi" w:hAnsiTheme="majorHAnsi" w:cstheme="minorHAnsi"/>
          <w:b/>
          <w:szCs w:val="24"/>
          <w:lang w:val="sr-Latn-CS"/>
        </w:rPr>
      </w:pPr>
      <w:r>
        <w:rPr>
          <w:rFonts w:asciiTheme="majorHAnsi" w:hAnsiTheme="majorHAnsi" w:cstheme="minorHAnsi"/>
          <w:b/>
          <w:szCs w:val="24"/>
          <w:lang w:val="sr-Latn-CS"/>
        </w:rPr>
        <w:t>Kriterijum: PP/MPP</w:t>
      </w:r>
      <w:r w:rsidR="0046570D" w:rsidRPr="002A0BEE">
        <w:rPr>
          <w:rFonts w:asciiTheme="majorHAnsi" w:hAnsiTheme="majorHAnsi" w:cstheme="minorHAnsi"/>
          <w:b/>
          <w:szCs w:val="24"/>
          <w:lang w:val="sr-Latn-CS"/>
        </w:rPr>
        <w:t xml:space="preserve"> x 20</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gdje:</w:t>
      </w:r>
    </w:p>
    <w:p w:rsidR="0046570D" w:rsidRPr="002A0BEE" w:rsidRDefault="00574D84" w:rsidP="0046570D">
      <w:pPr>
        <w:spacing w:after="0"/>
        <w:jc w:val="both"/>
        <w:rPr>
          <w:rFonts w:asciiTheme="majorHAnsi" w:hAnsiTheme="majorHAnsi" w:cstheme="minorHAnsi"/>
          <w:szCs w:val="24"/>
          <w:lang w:val="sr-Latn-CS"/>
        </w:rPr>
      </w:pPr>
      <w:r>
        <w:rPr>
          <w:rFonts w:asciiTheme="majorHAnsi" w:hAnsiTheme="majorHAnsi" w:cstheme="minorHAnsi"/>
          <w:b/>
          <w:szCs w:val="24"/>
          <w:lang w:val="sr-Latn-CS"/>
        </w:rPr>
        <w:t>P</w:t>
      </w:r>
      <w:r w:rsidR="0046570D" w:rsidRPr="002A0BEE">
        <w:rPr>
          <w:rFonts w:asciiTheme="majorHAnsi" w:hAnsiTheme="majorHAnsi" w:cstheme="minorHAnsi"/>
          <w:b/>
          <w:szCs w:val="24"/>
          <w:lang w:val="sr-Latn-CS"/>
        </w:rPr>
        <w:t>P</w:t>
      </w:r>
      <w:r w:rsidR="0046570D" w:rsidRPr="002A0BEE">
        <w:rPr>
          <w:rFonts w:asciiTheme="majorHAnsi" w:hAnsiTheme="majorHAnsi" w:cstheme="minorHAnsi"/>
          <w:szCs w:val="24"/>
          <w:lang w:val="sr-Latn-CS"/>
        </w:rPr>
        <w:t xml:space="preserve"> - označava ponuđenu godišnju proizvodnju</w:t>
      </w:r>
    </w:p>
    <w:p w:rsidR="0046570D" w:rsidRPr="002A0BEE" w:rsidRDefault="0046570D" w:rsidP="0046570D">
      <w:pPr>
        <w:spacing w:after="0"/>
        <w:jc w:val="both"/>
        <w:rPr>
          <w:rFonts w:asciiTheme="majorHAnsi" w:hAnsiTheme="majorHAnsi" w:cstheme="minorHAnsi"/>
          <w:szCs w:val="24"/>
          <w:lang w:val="sr-Latn-CS"/>
        </w:rPr>
      </w:pPr>
      <w:r w:rsidRPr="002A0BEE">
        <w:rPr>
          <w:rFonts w:asciiTheme="majorHAnsi" w:hAnsiTheme="majorHAnsi" w:cstheme="minorHAnsi"/>
          <w:b/>
          <w:szCs w:val="24"/>
          <w:lang w:val="sr-Latn-CS"/>
        </w:rPr>
        <w:t>MP</w:t>
      </w:r>
      <w:r w:rsidR="00574D84">
        <w:rPr>
          <w:rFonts w:asciiTheme="majorHAnsi" w:hAnsiTheme="majorHAnsi" w:cstheme="minorHAnsi"/>
          <w:b/>
          <w:szCs w:val="24"/>
          <w:lang w:val="sr-Latn-CS"/>
        </w:rPr>
        <w:t>P</w:t>
      </w:r>
      <w:r w:rsidRPr="002A0BEE">
        <w:rPr>
          <w:rFonts w:asciiTheme="majorHAnsi" w:hAnsiTheme="majorHAnsi" w:cstheme="minorHAnsi"/>
          <w:szCs w:val="24"/>
          <w:lang w:val="sr-Latn-CS"/>
        </w:rPr>
        <w:t xml:space="preserve"> - označava maskimalno ponuđenu godišnju proizvodnju ponuđenu na tederu</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b/>
          <w:szCs w:val="24"/>
          <w:lang w:val="sr-Latn-CS"/>
        </w:rPr>
        <w:t>20</w:t>
      </w:r>
      <w:r w:rsidRPr="002A0BEE">
        <w:rPr>
          <w:rFonts w:asciiTheme="majorHAnsi" w:hAnsiTheme="majorHAnsi" w:cstheme="minorHAnsi"/>
          <w:szCs w:val="24"/>
          <w:lang w:val="sr-Latn-CS"/>
        </w:rPr>
        <w:t xml:space="preserve"> – broj bodova za ovaj kriterijum</w:t>
      </w:r>
    </w:p>
    <w:p w:rsidR="0046570D" w:rsidRPr="002A0BEE" w:rsidRDefault="0046570D" w:rsidP="0055031D">
      <w:pPr>
        <w:pStyle w:val="ListParagraph"/>
        <w:keepNext/>
        <w:keepLines/>
        <w:numPr>
          <w:ilvl w:val="0"/>
          <w:numId w:val="40"/>
        </w:numPr>
        <w:contextualSpacing w:val="0"/>
        <w:jc w:val="both"/>
        <w:outlineLvl w:val="1"/>
        <w:rPr>
          <w:rFonts w:asciiTheme="majorHAnsi" w:eastAsiaTheme="majorEastAsia" w:hAnsiTheme="majorHAnsi" w:cstheme="minorHAnsi"/>
          <w:b/>
          <w:bCs/>
          <w:vanish/>
          <w:color w:val="000000" w:themeColor="text1"/>
          <w:szCs w:val="24"/>
          <w:lang w:val="sr-Latn-CS"/>
        </w:rPr>
      </w:pPr>
      <w:bookmarkStart w:id="148" w:name="_Toc436090820"/>
      <w:bookmarkStart w:id="149" w:name="_Toc436124900"/>
      <w:bookmarkEnd w:id="148"/>
      <w:bookmarkEnd w:id="149"/>
    </w:p>
    <w:p w:rsidR="0046570D" w:rsidRPr="002A0BEE" w:rsidRDefault="0046570D" w:rsidP="0055031D">
      <w:pPr>
        <w:pStyle w:val="ListParagraph"/>
        <w:keepNext/>
        <w:keepLines/>
        <w:numPr>
          <w:ilvl w:val="0"/>
          <w:numId w:val="40"/>
        </w:numPr>
        <w:contextualSpacing w:val="0"/>
        <w:jc w:val="both"/>
        <w:outlineLvl w:val="1"/>
        <w:rPr>
          <w:rFonts w:asciiTheme="majorHAnsi" w:eastAsiaTheme="majorEastAsia" w:hAnsiTheme="majorHAnsi" w:cstheme="minorHAnsi"/>
          <w:b/>
          <w:bCs/>
          <w:vanish/>
          <w:color w:val="000000" w:themeColor="text1"/>
          <w:szCs w:val="24"/>
          <w:lang w:val="sr-Latn-CS"/>
        </w:rPr>
      </w:pPr>
      <w:bookmarkStart w:id="150" w:name="_Toc436090821"/>
      <w:bookmarkStart w:id="151" w:name="_Toc436124901"/>
      <w:bookmarkEnd w:id="150"/>
      <w:bookmarkEnd w:id="151"/>
    </w:p>
    <w:p w:rsidR="0046570D" w:rsidRPr="002A0BEE" w:rsidRDefault="0046570D" w:rsidP="0055031D">
      <w:pPr>
        <w:pStyle w:val="ListParagraph"/>
        <w:keepNext/>
        <w:keepLines/>
        <w:numPr>
          <w:ilvl w:val="1"/>
          <w:numId w:val="40"/>
        </w:numPr>
        <w:contextualSpacing w:val="0"/>
        <w:jc w:val="both"/>
        <w:outlineLvl w:val="1"/>
        <w:rPr>
          <w:rFonts w:asciiTheme="majorHAnsi" w:eastAsiaTheme="majorEastAsia" w:hAnsiTheme="majorHAnsi" w:cstheme="minorHAnsi"/>
          <w:b/>
          <w:bCs/>
          <w:vanish/>
          <w:color w:val="000000" w:themeColor="text1"/>
          <w:szCs w:val="24"/>
          <w:lang w:val="sr-Latn-CS"/>
        </w:rPr>
      </w:pPr>
      <w:bookmarkStart w:id="152" w:name="_Toc436090822"/>
      <w:bookmarkStart w:id="153" w:name="_Toc436124902"/>
      <w:bookmarkEnd w:id="152"/>
      <w:bookmarkEnd w:id="153"/>
    </w:p>
    <w:p w:rsidR="0046570D" w:rsidRPr="002A0BEE" w:rsidRDefault="0046570D" w:rsidP="0055031D">
      <w:pPr>
        <w:pStyle w:val="ListParagraph"/>
        <w:keepNext/>
        <w:keepLines/>
        <w:numPr>
          <w:ilvl w:val="1"/>
          <w:numId w:val="40"/>
        </w:numPr>
        <w:contextualSpacing w:val="0"/>
        <w:jc w:val="both"/>
        <w:outlineLvl w:val="1"/>
        <w:rPr>
          <w:rFonts w:asciiTheme="majorHAnsi" w:eastAsiaTheme="majorEastAsia" w:hAnsiTheme="majorHAnsi" w:cstheme="minorHAnsi"/>
          <w:b/>
          <w:bCs/>
          <w:vanish/>
          <w:color w:val="000000" w:themeColor="text1"/>
          <w:szCs w:val="24"/>
          <w:lang w:val="sr-Latn-CS"/>
        </w:rPr>
      </w:pPr>
      <w:bookmarkStart w:id="154" w:name="_Toc436090823"/>
      <w:bookmarkStart w:id="155" w:name="_Toc436124903"/>
      <w:bookmarkEnd w:id="154"/>
      <w:bookmarkEnd w:id="155"/>
    </w:p>
    <w:p w:rsidR="0046570D" w:rsidRPr="00574D84" w:rsidRDefault="0046570D" w:rsidP="0055031D">
      <w:pPr>
        <w:pStyle w:val="Heading2"/>
        <w:numPr>
          <w:ilvl w:val="1"/>
          <w:numId w:val="40"/>
        </w:numPr>
        <w:spacing w:before="0" w:after="200"/>
        <w:jc w:val="both"/>
        <w:rPr>
          <w:rFonts w:cstheme="minorHAnsi"/>
          <w:i/>
          <w:szCs w:val="24"/>
          <w:lang w:val="sr-Latn-CS"/>
        </w:rPr>
      </w:pPr>
      <w:bookmarkStart w:id="156" w:name="_Toc436124904"/>
      <w:r w:rsidRPr="00574D84">
        <w:rPr>
          <w:rFonts w:cstheme="minorHAnsi"/>
          <w:szCs w:val="24"/>
          <w:lang w:val="sr-Latn-CS"/>
        </w:rPr>
        <w:t>Reference ponuđača</w:t>
      </w:r>
      <w:bookmarkEnd w:id="156"/>
      <w:r w:rsidRPr="00574D84">
        <w:rPr>
          <w:rFonts w:cstheme="minorHAnsi"/>
          <w:szCs w:val="24"/>
          <w:lang w:val="sr-Latn-CS"/>
        </w:rPr>
        <w:t xml:space="preserve"> </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Ponuđač je dužan da dokaže postojanje iskustva u eksploataciji čvrstih mineralnih sirovina, poštovanje izvršavanja koncesionih ugovornih obaveza, stepen realizacije koncesije, plasmana proizvoda na tržište, kao i da u skladu sa parametrima iz Koncesionog akta dokaže svoju tehničku i tehnološku opremljenost za vršenje koncesione djelatnosti eksploatacije mineralnih sirovina.</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Najveći broj bodova po ovom kriterijumu će se dati ponuđači koji najbolje dokumentuje i dokaže prethodno opisane uslove.</w:t>
      </w:r>
    </w:p>
    <w:p w:rsidR="002A0BEE" w:rsidRPr="002A0BEE" w:rsidRDefault="002A0BEE" w:rsidP="0055031D">
      <w:pPr>
        <w:pStyle w:val="ListParagraph"/>
        <w:keepNext/>
        <w:numPr>
          <w:ilvl w:val="1"/>
          <w:numId w:val="47"/>
        </w:numPr>
        <w:contextualSpacing w:val="0"/>
        <w:jc w:val="both"/>
        <w:outlineLvl w:val="1"/>
        <w:rPr>
          <w:rFonts w:asciiTheme="majorHAnsi" w:eastAsia="Times New Roman" w:hAnsiTheme="majorHAnsi"/>
          <w:b/>
          <w:bCs/>
          <w:i/>
          <w:iCs/>
          <w:vanish/>
          <w:szCs w:val="24"/>
          <w:lang w:val="sr-Latn-CS"/>
        </w:rPr>
      </w:pPr>
      <w:bookmarkStart w:id="157" w:name="_Toc436090825"/>
      <w:bookmarkStart w:id="158" w:name="_Toc436124905"/>
      <w:bookmarkEnd w:id="157"/>
      <w:bookmarkEnd w:id="158"/>
    </w:p>
    <w:p w:rsidR="002A0BEE" w:rsidRPr="002A0BEE" w:rsidRDefault="0046570D" w:rsidP="0055031D">
      <w:pPr>
        <w:pStyle w:val="Heading2"/>
        <w:keepLines w:val="0"/>
        <w:numPr>
          <w:ilvl w:val="1"/>
          <w:numId w:val="47"/>
        </w:numPr>
        <w:spacing w:before="0" w:after="200"/>
        <w:ind w:left="720" w:hanging="810"/>
        <w:jc w:val="both"/>
        <w:rPr>
          <w:i/>
          <w:szCs w:val="24"/>
          <w:lang w:val="sr-Latn-CS"/>
        </w:rPr>
      </w:pPr>
      <w:bookmarkStart w:id="159" w:name="_Toc436124906"/>
      <w:r w:rsidRPr="002A0BEE">
        <w:rPr>
          <w:szCs w:val="24"/>
          <w:lang w:val="sr-Latn-CS"/>
        </w:rPr>
        <w:t>Finansijski aspekt – Prosječni bruto prihod ponuđača u posljednje tri godine</w:t>
      </w:r>
      <w:bookmarkEnd w:id="159"/>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Ovaj kriterijum se izračunava na sljedeći način:</w:t>
      </w:r>
    </w:p>
    <w:p w:rsidR="0046570D" w:rsidRPr="002A0BEE" w:rsidRDefault="0046570D" w:rsidP="0046570D">
      <w:pPr>
        <w:jc w:val="both"/>
        <w:rPr>
          <w:rFonts w:asciiTheme="majorHAnsi" w:hAnsiTheme="majorHAnsi" w:cstheme="minorHAnsi"/>
          <w:b/>
          <w:szCs w:val="24"/>
          <w:lang w:val="sr-Latn-CS"/>
        </w:rPr>
      </w:pPr>
      <w:r w:rsidRPr="002A0BEE">
        <w:rPr>
          <w:rFonts w:asciiTheme="majorHAnsi" w:hAnsiTheme="majorHAnsi" w:cstheme="minorHAnsi"/>
          <w:b/>
          <w:szCs w:val="24"/>
          <w:lang w:val="sr-Latn-CS"/>
        </w:rPr>
        <w:t>Kriterijum: PBP / MBP x 5,</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gdje:</w:t>
      </w:r>
    </w:p>
    <w:p w:rsidR="0046570D" w:rsidRPr="002A0BEE" w:rsidRDefault="0046570D" w:rsidP="0046570D">
      <w:pPr>
        <w:spacing w:after="0"/>
        <w:jc w:val="both"/>
        <w:rPr>
          <w:rFonts w:asciiTheme="majorHAnsi" w:hAnsiTheme="majorHAnsi" w:cstheme="minorHAnsi"/>
          <w:szCs w:val="24"/>
          <w:lang w:val="sr-Latn-CS"/>
        </w:rPr>
      </w:pPr>
      <w:r w:rsidRPr="002A0BEE">
        <w:rPr>
          <w:rFonts w:asciiTheme="majorHAnsi" w:hAnsiTheme="majorHAnsi" w:cstheme="minorHAnsi"/>
          <w:b/>
          <w:szCs w:val="24"/>
          <w:lang w:val="sr-Latn-CS"/>
        </w:rPr>
        <w:lastRenderedPageBreak/>
        <w:t xml:space="preserve">PBP – </w:t>
      </w:r>
      <w:r w:rsidRPr="002A0BEE">
        <w:rPr>
          <w:rFonts w:asciiTheme="majorHAnsi" w:hAnsiTheme="majorHAnsi" w:cstheme="minorHAnsi"/>
          <w:szCs w:val="24"/>
          <w:lang w:val="sr-Latn-CS"/>
        </w:rPr>
        <w:t xml:space="preserve">označava prosječni bruto prihod ponuđača za posljednje tri godine </w:t>
      </w:r>
    </w:p>
    <w:p w:rsidR="0046570D" w:rsidRPr="002A0BEE" w:rsidRDefault="0046570D" w:rsidP="0046570D">
      <w:pPr>
        <w:spacing w:after="0"/>
        <w:jc w:val="both"/>
        <w:rPr>
          <w:rFonts w:asciiTheme="majorHAnsi" w:hAnsiTheme="majorHAnsi" w:cstheme="minorHAnsi"/>
          <w:szCs w:val="24"/>
          <w:lang w:val="sr-Latn-CS"/>
        </w:rPr>
      </w:pPr>
      <w:r w:rsidRPr="002A0BEE">
        <w:rPr>
          <w:rFonts w:asciiTheme="majorHAnsi" w:hAnsiTheme="majorHAnsi" w:cstheme="minorHAnsi"/>
          <w:b/>
          <w:szCs w:val="24"/>
          <w:lang w:val="sr-Latn-CS"/>
        </w:rPr>
        <w:t>MBP –</w:t>
      </w:r>
      <w:r w:rsidRPr="002A0BEE">
        <w:rPr>
          <w:rFonts w:asciiTheme="majorHAnsi" w:hAnsiTheme="majorHAnsi" w:cstheme="minorHAnsi"/>
          <w:szCs w:val="24"/>
          <w:lang w:val="sr-Latn-CS"/>
        </w:rPr>
        <w:t xml:space="preserve"> označava maksimalni prosječni bruto prihod za posljednje tri godine ponuđen na tenderu od ponuda koje se upoređuju</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b/>
          <w:szCs w:val="24"/>
          <w:lang w:val="sr-Latn-CS"/>
        </w:rPr>
        <w:t>5 –</w:t>
      </w:r>
      <w:r w:rsidRPr="002A0BEE">
        <w:rPr>
          <w:rFonts w:asciiTheme="majorHAnsi" w:hAnsiTheme="majorHAnsi" w:cstheme="minorHAnsi"/>
          <w:szCs w:val="24"/>
          <w:lang w:val="sr-Latn-CS"/>
        </w:rPr>
        <w:t xml:space="preserve"> označava broj bodova po ovom kriterijumu</w:t>
      </w:r>
    </w:p>
    <w:p w:rsidR="0046570D" w:rsidRPr="002A0BEE" w:rsidRDefault="0046570D" w:rsidP="0046570D">
      <w:pPr>
        <w:pStyle w:val="ListParagraph"/>
        <w:numPr>
          <w:ilvl w:val="0"/>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0"/>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0"/>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0"/>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0"/>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0"/>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1"/>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1"/>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1"/>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1"/>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1"/>
          <w:numId w:val="6"/>
        </w:numPr>
        <w:contextualSpacing w:val="0"/>
        <w:rPr>
          <w:rFonts w:asciiTheme="majorHAnsi" w:hAnsiTheme="majorHAnsi" w:cstheme="minorHAnsi"/>
          <w:b/>
          <w:vanish/>
          <w:szCs w:val="24"/>
          <w:lang w:val="sr-Latn-CS"/>
        </w:rPr>
      </w:pPr>
    </w:p>
    <w:p w:rsidR="002A0BEE" w:rsidRPr="002A0BEE" w:rsidRDefault="0046570D" w:rsidP="0055031D">
      <w:pPr>
        <w:pStyle w:val="Heading2"/>
        <w:keepLines w:val="0"/>
        <w:numPr>
          <w:ilvl w:val="1"/>
          <w:numId w:val="47"/>
        </w:numPr>
        <w:spacing w:before="0" w:after="200"/>
        <w:ind w:left="540" w:hanging="630"/>
        <w:jc w:val="both"/>
        <w:rPr>
          <w:i/>
          <w:vanish/>
          <w:szCs w:val="24"/>
          <w:lang w:val="sr-Latn-CS"/>
        </w:rPr>
      </w:pPr>
      <w:bookmarkStart w:id="160" w:name="_Toc436124907"/>
      <w:r w:rsidRPr="002A0BEE">
        <w:rPr>
          <w:szCs w:val="24"/>
          <w:lang w:val="sr-Latn-CS"/>
        </w:rPr>
        <w:t>Finansijski aspekt – Prosječni profit ponuđača u posljednje tri godine</w:t>
      </w:r>
      <w:bookmarkEnd w:id="160"/>
      <w:r w:rsidRPr="002A0BEE">
        <w:rPr>
          <w:szCs w:val="24"/>
          <w:lang w:val="sr-Latn-CS"/>
        </w:rPr>
        <w:t xml:space="preserve"> </w:t>
      </w:r>
    </w:p>
    <w:p w:rsidR="0046570D" w:rsidRPr="002A0BEE" w:rsidRDefault="0046570D" w:rsidP="0046570D">
      <w:pPr>
        <w:rPr>
          <w:rFonts w:asciiTheme="majorHAnsi" w:hAnsiTheme="majorHAnsi" w:cstheme="minorHAnsi"/>
          <w:szCs w:val="24"/>
          <w:lang w:val="sr-Latn-CS"/>
        </w:rPr>
      </w:pP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Ovaj kriterijum se izračunava na sljedeći način:</w:t>
      </w:r>
    </w:p>
    <w:p w:rsidR="0046570D" w:rsidRPr="002A0BEE" w:rsidRDefault="0046570D" w:rsidP="0046570D">
      <w:pPr>
        <w:jc w:val="both"/>
        <w:rPr>
          <w:rFonts w:asciiTheme="majorHAnsi" w:hAnsiTheme="majorHAnsi" w:cstheme="minorHAnsi"/>
          <w:b/>
          <w:szCs w:val="24"/>
          <w:lang w:val="sr-Latn-CS"/>
        </w:rPr>
      </w:pPr>
      <w:r w:rsidRPr="002A0BEE">
        <w:rPr>
          <w:rFonts w:asciiTheme="majorHAnsi" w:hAnsiTheme="majorHAnsi" w:cstheme="minorHAnsi"/>
          <w:b/>
          <w:szCs w:val="24"/>
          <w:lang w:val="sr-Latn-CS"/>
        </w:rPr>
        <w:t>Kriterijum: PP / MP</w:t>
      </w:r>
      <w:r w:rsidR="00574D84">
        <w:rPr>
          <w:rFonts w:asciiTheme="majorHAnsi" w:hAnsiTheme="majorHAnsi" w:cstheme="minorHAnsi"/>
          <w:b/>
          <w:szCs w:val="24"/>
          <w:lang w:val="sr-Latn-CS"/>
        </w:rPr>
        <w:t>P</w:t>
      </w:r>
      <w:r w:rsidRPr="002A0BEE">
        <w:rPr>
          <w:rFonts w:asciiTheme="majorHAnsi" w:hAnsiTheme="majorHAnsi" w:cstheme="minorHAnsi"/>
          <w:b/>
          <w:szCs w:val="24"/>
          <w:lang w:val="sr-Latn-CS"/>
        </w:rPr>
        <w:t xml:space="preserve"> x 5,</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gdje:</w:t>
      </w:r>
    </w:p>
    <w:p w:rsidR="0046570D" w:rsidRPr="002A0BEE" w:rsidRDefault="0046570D" w:rsidP="0046570D">
      <w:pPr>
        <w:spacing w:after="0"/>
        <w:jc w:val="both"/>
        <w:rPr>
          <w:rFonts w:asciiTheme="majorHAnsi" w:hAnsiTheme="majorHAnsi" w:cstheme="minorHAnsi"/>
          <w:szCs w:val="24"/>
          <w:lang w:val="sr-Latn-CS"/>
        </w:rPr>
      </w:pPr>
      <w:r w:rsidRPr="002A0BEE">
        <w:rPr>
          <w:rFonts w:asciiTheme="majorHAnsi" w:hAnsiTheme="majorHAnsi" w:cstheme="minorHAnsi"/>
          <w:b/>
          <w:szCs w:val="24"/>
          <w:lang w:val="sr-Latn-CS"/>
        </w:rPr>
        <w:t xml:space="preserve">PP – </w:t>
      </w:r>
      <w:r w:rsidRPr="002A0BEE">
        <w:rPr>
          <w:rFonts w:asciiTheme="majorHAnsi" w:hAnsiTheme="majorHAnsi" w:cstheme="minorHAnsi"/>
          <w:szCs w:val="24"/>
          <w:lang w:val="sr-Latn-CS"/>
        </w:rPr>
        <w:t>označava prosječni profit ponuđača za posljednje tri godine</w:t>
      </w:r>
    </w:p>
    <w:p w:rsidR="0046570D" w:rsidRPr="002A0BEE" w:rsidRDefault="0046570D" w:rsidP="0046570D">
      <w:pPr>
        <w:spacing w:after="0"/>
        <w:jc w:val="both"/>
        <w:rPr>
          <w:rFonts w:asciiTheme="majorHAnsi" w:hAnsiTheme="majorHAnsi" w:cstheme="minorHAnsi"/>
          <w:szCs w:val="24"/>
          <w:lang w:val="sr-Latn-CS"/>
        </w:rPr>
      </w:pPr>
      <w:r w:rsidRPr="002A0BEE">
        <w:rPr>
          <w:rFonts w:asciiTheme="majorHAnsi" w:hAnsiTheme="majorHAnsi" w:cstheme="minorHAnsi"/>
          <w:b/>
          <w:szCs w:val="24"/>
          <w:lang w:val="sr-Latn-CS"/>
        </w:rPr>
        <w:t>MP</w:t>
      </w:r>
      <w:r w:rsidR="00574D84">
        <w:rPr>
          <w:rFonts w:asciiTheme="majorHAnsi" w:hAnsiTheme="majorHAnsi" w:cstheme="minorHAnsi"/>
          <w:b/>
          <w:szCs w:val="24"/>
          <w:lang w:val="sr-Latn-CS"/>
        </w:rPr>
        <w:t>P</w:t>
      </w:r>
      <w:r w:rsidRPr="002A0BEE">
        <w:rPr>
          <w:rFonts w:asciiTheme="majorHAnsi" w:hAnsiTheme="majorHAnsi" w:cstheme="minorHAnsi"/>
          <w:b/>
          <w:szCs w:val="24"/>
          <w:lang w:val="sr-Latn-CS"/>
        </w:rPr>
        <w:t xml:space="preserve"> –</w:t>
      </w:r>
      <w:r w:rsidRPr="002A0BEE">
        <w:rPr>
          <w:rFonts w:asciiTheme="majorHAnsi" w:hAnsiTheme="majorHAnsi" w:cstheme="minorHAnsi"/>
          <w:szCs w:val="24"/>
          <w:lang w:val="sr-Latn-CS"/>
        </w:rPr>
        <w:t xml:space="preserve"> označava maksimalni prosječni profit za posljednje tri godine ponuđen na tenderu od ponuda koje se upoređuju</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b/>
          <w:szCs w:val="24"/>
          <w:lang w:val="sr-Latn-CS"/>
        </w:rPr>
        <w:t>5 –</w:t>
      </w:r>
      <w:r w:rsidRPr="002A0BEE">
        <w:rPr>
          <w:rFonts w:asciiTheme="majorHAnsi" w:hAnsiTheme="majorHAnsi" w:cstheme="minorHAnsi"/>
          <w:szCs w:val="24"/>
          <w:lang w:val="sr-Latn-CS"/>
        </w:rPr>
        <w:t xml:space="preserve"> označava broj bodova po ovom kriterijumu</w:t>
      </w:r>
    </w:p>
    <w:p w:rsidR="0046570D" w:rsidRPr="002A0BEE" w:rsidRDefault="0046570D" w:rsidP="0046570D">
      <w:pPr>
        <w:pStyle w:val="ListParagraph"/>
        <w:numPr>
          <w:ilvl w:val="1"/>
          <w:numId w:val="6"/>
        </w:numPr>
        <w:contextualSpacing w:val="0"/>
        <w:rPr>
          <w:rFonts w:asciiTheme="majorHAnsi" w:hAnsiTheme="majorHAnsi" w:cstheme="minorHAnsi"/>
          <w:b/>
          <w:vanish/>
          <w:szCs w:val="24"/>
          <w:lang w:val="sr-Latn-CS"/>
        </w:rPr>
      </w:pPr>
    </w:p>
    <w:p w:rsidR="0046570D" w:rsidRPr="002A0BEE" w:rsidRDefault="0046570D" w:rsidP="0046570D">
      <w:pPr>
        <w:pStyle w:val="ListParagraph"/>
        <w:numPr>
          <w:ilvl w:val="1"/>
          <w:numId w:val="6"/>
        </w:numPr>
        <w:contextualSpacing w:val="0"/>
        <w:rPr>
          <w:rFonts w:asciiTheme="majorHAnsi" w:hAnsiTheme="majorHAnsi" w:cstheme="minorHAnsi"/>
          <w:vanish/>
          <w:szCs w:val="24"/>
          <w:lang w:val="sr-Latn-CS"/>
        </w:rPr>
      </w:pPr>
    </w:p>
    <w:p w:rsidR="002A0BEE" w:rsidRPr="002A0BEE" w:rsidRDefault="0046570D" w:rsidP="0055031D">
      <w:pPr>
        <w:pStyle w:val="Heading2"/>
        <w:keepLines w:val="0"/>
        <w:numPr>
          <w:ilvl w:val="1"/>
          <w:numId w:val="47"/>
        </w:numPr>
        <w:spacing w:before="0" w:after="200"/>
        <w:ind w:left="810" w:hanging="810"/>
        <w:rPr>
          <w:i/>
          <w:szCs w:val="24"/>
          <w:lang w:val="sr-Latn-CS"/>
        </w:rPr>
      </w:pPr>
      <w:bookmarkStart w:id="161" w:name="_Toc436124908"/>
      <w:r w:rsidRPr="002A0BEE">
        <w:rPr>
          <w:szCs w:val="24"/>
          <w:lang w:val="sr-Latn-CS"/>
        </w:rPr>
        <w:t>Kvalitet poslovnog plana i efekti na zapošljavanje i ekonomski razvoj</w:t>
      </w:r>
      <w:bookmarkEnd w:id="161"/>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Ponuđač je dužan da u skladu sa parametrima iz Koncesionog akta dokaže i opiše poslovni plan za realizaciju koncesije i efekte realizacije koncesije na zapošljavanje i ekonomski razvoj.</w:t>
      </w:r>
    </w:p>
    <w:p w:rsidR="0046570D" w:rsidRPr="002A0BEE" w:rsidRDefault="0046570D" w:rsidP="0046570D">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Ponuđač je, između ostalog, dužan opisati </w:t>
      </w:r>
      <w:r w:rsidRPr="002A0BEE">
        <w:rPr>
          <w:rFonts w:asciiTheme="majorHAnsi" w:eastAsia="Times New Roman" w:hAnsiTheme="majorHAnsi" w:cstheme="minorHAnsi"/>
          <w:szCs w:val="24"/>
          <w:lang w:val="sr-Latn-CS"/>
        </w:rPr>
        <w:t>planirana investiciona ulaganja za realizaciju koncesije (ulaganja u nabavku opreme i mehanizacije, u izgradnju infrastrukturnih objekata i u izradu projektne i ostale tehničke dokumentacije, itd..), zapošljavanje radnje snage, plasman proizvoda na tržište, itd..</w:t>
      </w:r>
    </w:p>
    <w:p w:rsidR="00392D99" w:rsidRPr="002A0BEE" w:rsidRDefault="0046570D"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Najveći broj bodova po ovom kriterijumu će se dati ponuđači koji najbolje dokumentuje i dokaže prethodno opisane uslove</w:t>
      </w:r>
      <w:bookmarkEnd w:id="132"/>
      <w:bookmarkEnd w:id="133"/>
      <w:bookmarkEnd w:id="134"/>
      <w:bookmarkEnd w:id="135"/>
    </w:p>
    <w:p w:rsidR="009248F4" w:rsidRPr="002A0BEE" w:rsidRDefault="009248F4" w:rsidP="0055031D">
      <w:pPr>
        <w:pStyle w:val="Heading1"/>
        <w:numPr>
          <w:ilvl w:val="0"/>
          <w:numId w:val="47"/>
        </w:numPr>
        <w:spacing w:before="0" w:after="200"/>
        <w:jc w:val="both"/>
        <w:rPr>
          <w:rFonts w:asciiTheme="majorHAnsi" w:hAnsiTheme="majorHAnsi" w:cstheme="minorHAnsi"/>
          <w:sz w:val="24"/>
          <w:szCs w:val="24"/>
          <w:lang w:val="sr-Latn-CS"/>
        </w:rPr>
      </w:pPr>
      <w:bookmarkStart w:id="162" w:name="_Toc435529031"/>
      <w:bookmarkStart w:id="163" w:name="_Toc390549920"/>
      <w:bookmarkStart w:id="164" w:name="_Toc401959450"/>
      <w:bookmarkStart w:id="165" w:name="_Toc401959543"/>
      <w:bookmarkStart w:id="166" w:name="_Toc436124909"/>
      <w:r w:rsidRPr="002A0BEE">
        <w:rPr>
          <w:rFonts w:asciiTheme="majorHAnsi" w:hAnsiTheme="majorHAnsi" w:cstheme="minorHAnsi"/>
          <w:sz w:val="24"/>
          <w:szCs w:val="24"/>
          <w:lang w:val="sr-Latn-CS"/>
        </w:rPr>
        <w:t>Spisak potrebne tehničke dokumentacije sa uslovima za njenu izradu, odobrenja, saglasnosti i mišljenja za obavljanje koncesione djelatnosti</w:t>
      </w:r>
      <w:bookmarkStart w:id="167" w:name="_Toc390549921"/>
      <w:bookmarkEnd w:id="162"/>
      <w:bookmarkEnd w:id="163"/>
      <w:bookmarkEnd w:id="164"/>
      <w:bookmarkEnd w:id="165"/>
      <w:bookmarkEnd w:id="166"/>
    </w:p>
    <w:p w:rsidR="009248F4" w:rsidRPr="002A0BEE" w:rsidRDefault="00776ECD" w:rsidP="0055031D">
      <w:pPr>
        <w:pStyle w:val="Heading2"/>
        <w:numPr>
          <w:ilvl w:val="1"/>
          <w:numId w:val="47"/>
        </w:numPr>
        <w:tabs>
          <w:tab w:val="left" w:pos="900"/>
        </w:tabs>
        <w:spacing w:before="0" w:after="200"/>
        <w:rPr>
          <w:rFonts w:cstheme="minorHAnsi"/>
          <w:szCs w:val="24"/>
          <w:lang w:val="sr-Latn-CS"/>
        </w:rPr>
      </w:pPr>
      <w:bookmarkStart w:id="168" w:name="_Toc401959451"/>
      <w:bookmarkStart w:id="169" w:name="_Toc401959544"/>
      <w:bookmarkStart w:id="170" w:name="_Toc435529032"/>
      <w:bookmarkStart w:id="171" w:name="_Toc436124910"/>
      <w:r w:rsidRPr="002A0BEE">
        <w:rPr>
          <w:rFonts w:cstheme="minorHAnsi"/>
          <w:szCs w:val="24"/>
          <w:lang w:val="sr-Latn-CS"/>
        </w:rPr>
        <w:t>Geološka</w:t>
      </w:r>
      <w:r w:rsidR="009248F4" w:rsidRPr="002A0BEE">
        <w:rPr>
          <w:rFonts w:cstheme="minorHAnsi"/>
          <w:szCs w:val="24"/>
          <w:lang w:val="sr-Latn-CS"/>
        </w:rPr>
        <w:t xml:space="preserve"> istraživanja</w:t>
      </w:r>
      <w:bookmarkEnd w:id="167"/>
      <w:bookmarkEnd w:id="168"/>
      <w:bookmarkEnd w:id="169"/>
      <w:bookmarkEnd w:id="170"/>
      <w:bookmarkEnd w:id="171"/>
    </w:p>
    <w:p w:rsidR="00776ECD" w:rsidRPr="002A0BEE" w:rsidRDefault="00776ECD"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T</w:t>
      </w:r>
      <w:r w:rsidR="00525789" w:rsidRPr="002A0BEE">
        <w:rPr>
          <w:rFonts w:asciiTheme="majorHAnsi" w:hAnsiTheme="majorHAnsi" w:cstheme="minorHAnsi"/>
          <w:szCs w:val="24"/>
          <w:lang w:val="sr-Latn-CS"/>
        </w:rPr>
        <w:t xml:space="preserve">okom eksploatacije, shodno odredbama Zakona o geološkim istraživanjima, </w:t>
      </w:r>
      <w:r w:rsidRPr="002A0BEE">
        <w:rPr>
          <w:rFonts w:asciiTheme="majorHAnsi" w:hAnsiTheme="majorHAnsi" w:cstheme="minorHAnsi"/>
          <w:szCs w:val="24"/>
          <w:lang w:val="sr-Latn-CS"/>
        </w:rPr>
        <w:t xml:space="preserve">budući Koncesionar je dužan da </w:t>
      </w:r>
      <w:r w:rsidR="00525789" w:rsidRPr="002A0BEE">
        <w:rPr>
          <w:rFonts w:asciiTheme="majorHAnsi" w:hAnsiTheme="majorHAnsi" w:cstheme="minorHAnsi"/>
          <w:szCs w:val="24"/>
          <w:lang w:val="sr-Latn-CS"/>
        </w:rPr>
        <w:t>izvodi geološka istraživanja u cilju povećanja ukupnih rezervi mineralne sirovine</w:t>
      </w:r>
      <w:bookmarkStart w:id="172" w:name="_Toc390549922"/>
      <w:r w:rsidRPr="002A0BEE">
        <w:rPr>
          <w:rFonts w:asciiTheme="majorHAnsi" w:hAnsiTheme="majorHAnsi" w:cstheme="minorHAnsi"/>
          <w:szCs w:val="24"/>
          <w:lang w:val="sr-Latn-CS"/>
        </w:rPr>
        <w:t>.</w:t>
      </w:r>
    </w:p>
    <w:p w:rsidR="00776ECD" w:rsidRPr="002A0BEE" w:rsidRDefault="00776ECD"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Tokom koncesionog perioda budući Koncesionar je dužan da, u skladu sa odredbama Zakona o geološkim istraživanjima, dostavlja nadležnom državnom organu za rudarstvo i geološka istraživanja svake pete godine na ovjeru Elaborat o kasifikaciji, kategorizaciji i </w:t>
      </w:r>
      <w:r w:rsidRPr="002A0BEE">
        <w:rPr>
          <w:rFonts w:asciiTheme="majorHAnsi" w:hAnsiTheme="majorHAnsi" w:cstheme="minorHAnsi"/>
          <w:szCs w:val="24"/>
          <w:lang w:val="sr-Latn-CS"/>
        </w:rPr>
        <w:lastRenderedPageBreak/>
        <w:t xml:space="preserve">proračunu rezervi mineralne sirovine, sa stanjem na dan 31. decembar prethodne godine, koji se izrađuje na osnovu posebnih propisa. </w:t>
      </w:r>
    </w:p>
    <w:p w:rsidR="009248F4" w:rsidRPr="002A0BEE" w:rsidRDefault="00776ECD" w:rsidP="0055031D">
      <w:pPr>
        <w:pStyle w:val="ListParagraph"/>
        <w:numPr>
          <w:ilvl w:val="1"/>
          <w:numId w:val="47"/>
        </w:numPr>
        <w:tabs>
          <w:tab w:val="left" w:pos="990"/>
        </w:tabs>
        <w:jc w:val="both"/>
        <w:rPr>
          <w:rFonts w:asciiTheme="majorHAnsi" w:hAnsiTheme="majorHAnsi" w:cstheme="minorHAnsi"/>
          <w:b/>
          <w:szCs w:val="24"/>
          <w:lang w:val="sr-Latn-CS"/>
        </w:rPr>
      </w:pPr>
      <w:bookmarkStart w:id="173" w:name="_Toc401959452"/>
      <w:bookmarkStart w:id="174" w:name="_Toc401959545"/>
      <w:r w:rsidRPr="002A0BEE">
        <w:rPr>
          <w:rFonts w:asciiTheme="majorHAnsi" w:hAnsiTheme="majorHAnsi" w:cstheme="minorHAnsi"/>
          <w:b/>
          <w:szCs w:val="24"/>
          <w:lang w:val="sr-Latn-CS"/>
        </w:rPr>
        <w:t>E</w:t>
      </w:r>
      <w:r w:rsidR="009248F4" w:rsidRPr="002A0BEE">
        <w:rPr>
          <w:rFonts w:asciiTheme="majorHAnsi" w:hAnsiTheme="majorHAnsi" w:cstheme="minorHAnsi"/>
          <w:b/>
          <w:szCs w:val="24"/>
          <w:lang w:val="sr-Latn-CS"/>
        </w:rPr>
        <w:t>ksploataci</w:t>
      </w:r>
      <w:r w:rsidRPr="002A0BEE">
        <w:rPr>
          <w:rFonts w:asciiTheme="majorHAnsi" w:hAnsiTheme="majorHAnsi" w:cstheme="minorHAnsi"/>
          <w:b/>
          <w:szCs w:val="24"/>
          <w:lang w:val="sr-Latn-CS"/>
        </w:rPr>
        <w:t>ja</w:t>
      </w:r>
      <w:r w:rsidR="009248F4" w:rsidRPr="002A0BEE">
        <w:rPr>
          <w:rFonts w:asciiTheme="majorHAnsi" w:hAnsiTheme="majorHAnsi" w:cstheme="minorHAnsi"/>
          <w:b/>
          <w:szCs w:val="24"/>
          <w:lang w:val="sr-Latn-CS"/>
        </w:rPr>
        <w:t xml:space="preserve"> mineralne sirovin</w:t>
      </w:r>
      <w:bookmarkEnd w:id="172"/>
      <w:r w:rsidR="009248F4" w:rsidRPr="002A0BEE">
        <w:rPr>
          <w:rFonts w:asciiTheme="majorHAnsi" w:hAnsiTheme="majorHAnsi" w:cstheme="minorHAnsi"/>
          <w:b/>
          <w:szCs w:val="24"/>
          <w:lang w:val="sr-Latn-CS"/>
        </w:rPr>
        <w:t>e</w:t>
      </w:r>
      <w:bookmarkEnd w:id="173"/>
      <w:bookmarkEnd w:id="174"/>
    </w:p>
    <w:p w:rsidR="00940407" w:rsidRPr="002A0BEE" w:rsidRDefault="009248F4" w:rsidP="0055031D">
      <w:pPr>
        <w:pStyle w:val="Heading3"/>
        <w:numPr>
          <w:ilvl w:val="2"/>
          <w:numId w:val="47"/>
        </w:numPr>
        <w:spacing w:before="0" w:after="200"/>
        <w:ind w:hanging="594"/>
        <w:rPr>
          <w:rFonts w:cstheme="minorHAnsi"/>
          <w:szCs w:val="24"/>
          <w:lang w:val="sr-Latn-CS"/>
        </w:rPr>
      </w:pPr>
      <w:bookmarkStart w:id="175" w:name="_Toc390549923"/>
      <w:bookmarkStart w:id="176" w:name="_Toc401959453"/>
      <w:bookmarkStart w:id="177" w:name="_Toc401959546"/>
      <w:bookmarkStart w:id="178" w:name="_Toc435529033"/>
      <w:bookmarkStart w:id="179" w:name="_Toc436124911"/>
      <w:r w:rsidRPr="002A0BEE">
        <w:rPr>
          <w:rFonts w:cstheme="minorHAnsi"/>
          <w:szCs w:val="24"/>
          <w:lang w:val="sr-Latn-CS"/>
        </w:rPr>
        <w:t>Odobrenje za eksploataciju mineralne sirovine na eksploatacionom polju</w:t>
      </w:r>
      <w:bookmarkStart w:id="180" w:name="_Toc435529034"/>
      <w:bookmarkEnd w:id="175"/>
      <w:bookmarkEnd w:id="176"/>
      <w:bookmarkEnd w:id="177"/>
      <w:bookmarkEnd w:id="178"/>
      <w:bookmarkEnd w:id="179"/>
      <w:bookmarkEnd w:id="180"/>
    </w:p>
    <w:p w:rsidR="00940407" w:rsidRPr="002A0BEE" w:rsidRDefault="00574678"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Odobrenje za eksploataciju mineralne sirovine na eksploatacionom polju, u skladu sa članom 33 Zakona o rudarstvu, izdaje Ministarstvo ekonomije na zahtjev investitora. </w:t>
      </w:r>
      <w:r w:rsidR="009248F4" w:rsidRPr="002A0BEE">
        <w:rPr>
          <w:rFonts w:asciiTheme="majorHAnsi" w:hAnsiTheme="majorHAnsi" w:cstheme="minorHAnsi"/>
          <w:szCs w:val="24"/>
          <w:lang w:val="sr-Latn-CS"/>
        </w:rPr>
        <w:t>Uz zahtjev se dostavlja i sljedeća dokumentacija:</w:t>
      </w:r>
    </w:p>
    <w:p w:rsidR="009248F4" w:rsidRPr="002A0BEE" w:rsidRDefault="009248F4" w:rsidP="002E447F">
      <w:pPr>
        <w:pStyle w:val="ListParagraph"/>
        <w:numPr>
          <w:ilvl w:val="0"/>
          <w:numId w:val="15"/>
        </w:numPr>
        <w:autoSpaceDE w:val="0"/>
        <w:autoSpaceDN w:val="0"/>
        <w:adjustRightInd w:val="0"/>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ugovor o koncesiji;</w:t>
      </w:r>
    </w:p>
    <w:p w:rsidR="009248F4" w:rsidRPr="002A0BEE" w:rsidRDefault="009248F4" w:rsidP="002E447F">
      <w:pPr>
        <w:pStyle w:val="ListParagraph"/>
        <w:numPr>
          <w:ilvl w:val="0"/>
          <w:numId w:val="15"/>
        </w:numPr>
        <w:autoSpaceDE w:val="0"/>
        <w:autoSpaceDN w:val="0"/>
        <w:adjustRightInd w:val="0"/>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situaciona karta u razmjeri 1:10.000 ( ili većoj) sa ucrtanim granicama eksploatacionog polja, javnim saobraćajnicama, rudarskim radovima i drugim objektima koji se nalaze na eksploatacionom polju, opisom granica, nazivom eksploatacionog polja i naznačenjem opštine na čijoj se teritoriji nalazi;</w:t>
      </w:r>
    </w:p>
    <w:p w:rsidR="009248F4" w:rsidRPr="002A0BEE" w:rsidRDefault="009248F4" w:rsidP="002E447F">
      <w:pPr>
        <w:pStyle w:val="ListParagraph"/>
        <w:numPr>
          <w:ilvl w:val="0"/>
          <w:numId w:val="15"/>
        </w:numPr>
        <w:autoSpaceDE w:val="0"/>
        <w:autoSpaceDN w:val="0"/>
        <w:adjustRightInd w:val="0"/>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potvrdu o bilansnim rezervama mineralnih sirovina koja se izdaje u skladu sa važećim propisima o klasifikaciji i kategorizaciji rezervi;</w:t>
      </w:r>
    </w:p>
    <w:p w:rsidR="009248F4" w:rsidRPr="002A0BEE" w:rsidRDefault="009248F4" w:rsidP="002E447F">
      <w:pPr>
        <w:pStyle w:val="ListParagraph"/>
        <w:numPr>
          <w:ilvl w:val="0"/>
          <w:numId w:val="15"/>
        </w:numPr>
        <w:autoSpaceDE w:val="0"/>
        <w:autoSpaceDN w:val="0"/>
        <w:adjustRightInd w:val="0"/>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studija izvodljivosti eksploatacije ležišta mineralnih sirovina sa prikazom</w:t>
      </w:r>
      <w:r w:rsidR="005E0617" w:rsidRPr="002A0BEE">
        <w:rPr>
          <w:rFonts w:asciiTheme="majorHAnsi" w:hAnsiTheme="majorHAnsi" w:cstheme="minorHAnsi"/>
          <w:szCs w:val="24"/>
          <w:lang w:val="sr-Latn-CS"/>
        </w:rPr>
        <w:t xml:space="preserve"> uslova i načina eksploatacije i</w:t>
      </w:r>
      <w:r w:rsidRPr="002A0BEE">
        <w:rPr>
          <w:rFonts w:asciiTheme="majorHAnsi" w:hAnsiTheme="majorHAnsi" w:cstheme="minorHAnsi"/>
          <w:szCs w:val="24"/>
          <w:lang w:val="sr-Latn-CS"/>
        </w:rPr>
        <w:t xml:space="preserve">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9248F4" w:rsidRPr="002A0BEE" w:rsidRDefault="009248F4" w:rsidP="002E447F">
      <w:pPr>
        <w:pStyle w:val="ListParagraph"/>
        <w:numPr>
          <w:ilvl w:val="0"/>
          <w:numId w:val="15"/>
        </w:numPr>
        <w:autoSpaceDE w:val="0"/>
        <w:autoSpaceDN w:val="0"/>
        <w:adjustRightInd w:val="0"/>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mišljenje nadležnog organa za zaštitu životne sredine na studiju izvodljivosti eksploatacije;</w:t>
      </w:r>
    </w:p>
    <w:p w:rsidR="009248F4" w:rsidRPr="002A0BEE" w:rsidRDefault="009248F4" w:rsidP="002E447F">
      <w:pPr>
        <w:pStyle w:val="ListParagraph"/>
        <w:numPr>
          <w:ilvl w:val="0"/>
          <w:numId w:val="15"/>
        </w:numPr>
        <w:autoSpaceDE w:val="0"/>
        <w:autoSpaceDN w:val="0"/>
        <w:adjustRightInd w:val="0"/>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akt organa nadležnog za poslove urbanizma u pogledu usaglašenosti planirane eksploatacije mineralnih sirovina sa odgovarajućim prostornim, odnosno urbanističkim planovima;</w:t>
      </w:r>
    </w:p>
    <w:p w:rsidR="009248F4" w:rsidRPr="002A0BEE" w:rsidRDefault="009248F4" w:rsidP="002E447F">
      <w:pPr>
        <w:pStyle w:val="ListParagraph"/>
        <w:numPr>
          <w:ilvl w:val="0"/>
          <w:numId w:val="15"/>
        </w:numPr>
        <w:autoSpaceDE w:val="0"/>
        <w:autoSpaceDN w:val="0"/>
        <w:adjustRightInd w:val="0"/>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licenca za izvođenje radova;</w:t>
      </w:r>
    </w:p>
    <w:p w:rsidR="009248F4" w:rsidRPr="002A0BEE" w:rsidRDefault="009248F4" w:rsidP="00392D99">
      <w:pPr>
        <w:pStyle w:val="ListParagraph"/>
        <w:numPr>
          <w:ilvl w:val="0"/>
          <w:numId w:val="15"/>
        </w:numPr>
        <w:autoSpaceDE w:val="0"/>
        <w:autoSpaceDN w:val="0"/>
        <w:adjustRightInd w:val="0"/>
        <w:jc w:val="both"/>
        <w:rPr>
          <w:rFonts w:asciiTheme="majorHAnsi" w:hAnsiTheme="majorHAnsi" w:cstheme="minorHAnsi"/>
          <w:szCs w:val="24"/>
          <w:lang w:val="sr-Latn-CS"/>
        </w:rPr>
      </w:pPr>
      <w:r w:rsidRPr="002A0BEE">
        <w:rPr>
          <w:rFonts w:asciiTheme="majorHAnsi" w:hAnsiTheme="majorHAnsi" w:cstheme="minorHAnsi"/>
          <w:szCs w:val="24"/>
          <w:lang w:val="sr-Latn-CS"/>
        </w:rPr>
        <w:t>drugi podaci od značaja za izdavanje odobrenja na zahtjev nadležnog organa.</w:t>
      </w:r>
    </w:p>
    <w:p w:rsidR="009248F4" w:rsidRPr="002A0BEE" w:rsidRDefault="009248F4" w:rsidP="0055031D">
      <w:pPr>
        <w:pStyle w:val="Heading3"/>
        <w:numPr>
          <w:ilvl w:val="2"/>
          <w:numId w:val="47"/>
        </w:numPr>
        <w:spacing w:before="0" w:after="200"/>
        <w:rPr>
          <w:rFonts w:cstheme="minorHAnsi"/>
          <w:szCs w:val="24"/>
          <w:lang w:val="sr-Latn-CS"/>
        </w:rPr>
      </w:pPr>
      <w:bookmarkStart w:id="181" w:name="_Toc390549924"/>
      <w:bookmarkStart w:id="182" w:name="_Toc401959454"/>
      <w:bookmarkStart w:id="183" w:name="_Toc401959547"/>
      <w:bookmarkStart w:id="184" w:name="_Toc435529035"/>
      <w:bookmarkStart w:id="185" w:name="_Toc436124912"/>
      <w:r w:rsidRPr="002A0BEE">
        <w:rPr>
          <w:rFonts w:cstheme="minorHAnsi"/>
          <w:szCs w:val="24"/>
          <w:lang w:val="sr-Latn-CS"/>
        </w:rPr>
        <w:t>Odobrenje za izvođenje radova po rudarskom projektu</w:t>
      </w:r>
      <w:bookmarkEnd w:id="181"/>
      <w:bookmarkEnd w:id="182"/>
      <w:bookmarkEnd w:id="183"/>
      <w:bookmarkEnd w:id="184"/>
      <w:bookmarkEnd w:id="185"/>
    </w:p>
    <w:p w:rsidR="009248F4" w:rsidRPr="002A0BEE" w:rsidRDefault="009248F4"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Nakon dobijanja odobrenja za eksploataciju mineralne sirovine na eksploatacionom polju, pristupa se izradi rudarske tehničke dokumentacije –rudarskog projekta eksploatacije.</w:t>
      </w:r>
    </w:p>
    <w:p w:rsidR="009248F4" w:rsidRPr="002A0BEE" w:rsidRDefault="0021098F" w:rsidP="00392D99">
      <w:pPr>
        <w:jc w:val="both"/>
        <w:rPr>
          <w:rFonts w:asciiTheme="majorHAnsi" w:hAnsiTheme="majorHAnsi" w:cstheme="minorHAnsi"/>
          <w:szCs w:val="24"/>
          <w:lang w:val="sr-Latn-CS"/>
        </w:rPr>
      </w:pPr>
      <w:r w:rsidRPr="002A0BEE">
        <w:rPr>
          <w:rFonts w:asciiTheme="majorHAnsi" w:hAnsiTheme="majorHAnsi" w:cstheme="minorHAnsi"/>
          <w:b/>
          <w:szCs w:val="24"/>
          <w:lang w:val="sr-Latn-CS"/>
        </w:rPr>
        <w:t>R</w:t>
      </w:r>
      <w:r w:rsidR="009248F4" w:rsidRPr="002A0BEE">
        <w:rPr>
          <w:rFonts w:asciiTheme="majorHAnsi" w:hAnsiTheme="majorHAnsi" w:cstheme="minorHAnsi"/>
          <w:b/>
          <w:szCs w:val="24"/>
          <w:lang w:val="sr-Latn-CS"/>
        </w:rPr>
        <w:t>udarski projekat</w:t>
      </w:r>
      <w:r w:rsidR="009248F4" w:rsidRPr="002A0BEE">
        <w:rPr>
          <w:rFonts w:asciiTheme="majorHAnsi" w:hAnsiTheme="majorHAnsi" w:cstheme="minorHAnsi"/>
          <w:szCs w:val="24"/>
          <w:lang w:val="sr-Latn-CS"/>
        </w:rPr>
        <w:t xml:space="preserve"> izrađuje se za izgradnju novih rudarskih</w:t>
      </w:r>
      <w:r w:rsidR="005E0617" w:rsidRPr="002A0BEE">
        <w:rPr>
          <w:rFonts w:asciiTheme="majorHAnsi" w:hAnsiTheme="majorHAnsi" w:cstheme="minorHAnsi"/>
          <w:szCs w:val="24"/>
          <w:lang w:val="sr-Latn-CS"/>
        </w:rPr>
        <w:t xml:space="preserve"> objekata</w:t>
      </w:r>
      <w:r w:rsidR="009248F4" w:rsidRPr="002A0BEE">
        <w:rPr>
          <w:rFonts w:asciiTheme="majorHAnsi" w:hAnsiTheme="majorHAnsi" w:cstheme="minorHAnsi"/>
          <w:szCs w:val="24"/>
          <w:lang w:val="sr-Latn-CS"/>
        </w:rPr>
        <w:t>, sistema otvaranja i pripreme rudarskih objekata radi eksploatacije mineralne sirovine. Rudarski projekat podliježe tehničkoj kontroli (reviziji), koju vrši nadležni organ preko stručne komisije ili pravnog lica koje ima Licencu za izradu rudarskih projekata.</w:t>
      </w:r>
    </w:p>
    <w:p w:rsidR="009248F4" w:rsidRPr="002A0BEE" w:rsidRDefault="009248F4"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lastRenderedPageBreak/>
        <w:t xml:space="preserve">Odobrenje za izvođenje radova po rudarskom projektu, u skladu sa </w:t>
      </w:r>
      <w:r w:rsidR="0023153B" w:rsidRPr="00574D84">
        <w:rPr>
          <w:rFonts w:asciiTheme="majorHAnsi" w:hAnsiTheme="majorHAnsi" w:cstheme="minorHAnsi"/>
          <w:szCs w:val="24"/>
          <w:lang w:val="sr-Latn-CS"/>
        </w:rPr>
        <w:t>članom 53</w:t>
      </w:r>
      <w:r w:rsidRPr="00574D84">
        <w:rPr>
          <w:rFonts w:asciiTheme="majorHAnsi" w:hAnsiTheme="majorHAnsi" w:cstheme="minorHAnsi"/>
          <w:szCs w:val="24"/>
          <w:lang w:val="sr-Latn-CS"/>
        </w:rPr>
        <w:t xml:space="preserve"> Zakona</w:t>
      </w:r>
      <w:r w:rsidRPr="002A0BEE">
        <w:rPr>
          <w:rFonts w:asciiTheme="majorHAnsi" w:hAnsiTheme="majorHAnsi" w:cstheme="minorHAnsi"/>
          <w:szCs w:val="24"/>
          <w:lang w:val="sr-Latn-CS"/>
        </w:rPr>
        <w:t xml:space="preserve"> o rudarstvu, izdaje Ministarstvo ekonomije na zahtjev investitora. Uz zahtjev se dostavlja i sljedeća dokumentacija:</w:t>
      </w:r>
    </w:p>
    <w:p w:rsidR="009248F4" w:rsidRPr="002A0BEE" w:rsidRDefault="009248F4" w:rsidP="002E447F">
      <w:pPr>
        <w:pStyle w:val="ListParagraph"/>
        <w:numPr>
          <w:ilvl w:val="0"/>
          <w:numId w:val="16"/>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rudarski projekat sa revizionom klauzulom;</w:t>
      </w:r>
    </w:p>
    <w:p w:rsidR="009248F4" w:rsidRPr="002A0BEE" w:rsidRDefault="009248F4" w:rsidP="002E447F">
      <w:pPr>
        <w:pStyle w:val="ListParagraph"/>
        <w:numPr>
          <w:ilvl w:val="0"/>
          <w:numId w:val="16"/>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potvrda-saglasnost organa koji je izdao uslove da je rudarski projekat urađen u skladu sa izdatim uslovima;</w:t>
      </w:r>
    </w:p>
    <w:p w:rsidR="009248F4" w:rsidRPr="002A0BEE" w:rsidRDefault="009248F4" w:rsidP="002E447F">
      <w:pPr>
        <w:pStyle w:val="ListParagraph"/>
        <w:numPr>
          <w:ilvl w:val="0"/>
          <w:numId w:val="16"/>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urbanističko-tehnički uslovi;</w:t>
      </w:r>
    </w:p>
    <w:p w:rsidR="009248F4" w:rsidRPr="002A0BEE" w:rsidRDefault="009248F4" w:rsidP="002E447F">
      <w:pPr>
        <w:pStyle w:val="ListParagraph"/>
        <w:numPr>
          <w:ilvl w:val="0"/>
          <w:numId w:val="16"/>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dokaz o pravu svojine ili korišćenja na zemljištu, odnosno službenosti za najmanje dvije godine eksploatacije mineralne sirovine prema dinamici utvrđenoj koncesionim pravom;</w:t>
      </w:r>
    </w:p>
    <w:p w:rsidR="009248F4" w:rsidRPr="002A0BEE" w:rsidRDefault="009248F4" w:rsidP="002E447F">
      <w:pPr>
        <w:pStyle w:val="ListParagraph"/>
        <w:numPr>
          <w:ilvl w:val="0"/>
          <w:numId w:val="16"/>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saglasnost organa državne uprave nadležnog za poslove zaštite životne sredine na elaborat procjene uticaja na životnu sredinu ili odluku da nije potrebno vršiti procjenu uticaja koje se izdaju u skladu sa posebnim propisom;</w:t>
      </w:r>
    </w:p>
    <w:p w:rsidR="009248F4" w:rsidRPr="002A0BEE" w:rsidRDefault="009248F4" w:rsidP="002E447F">
      <w:pPr>
        <w:pStyle w:val="ListParagraph"/>
        <w:numPr>
          <w:ilvl w:val="0"/>
          <w:numId w:val="16"/>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vodoprivredna saglasnost na projekte kada eksploatacija mineralnih sirovina utiče na režim voda;</w:t>
      </w:r>
    </w:p>
    <w:p w:rsidR="009248F4" w:rsidRPr="002A0BEE" w:rsidRDefault="009248F4" w:rsidP="002E447F">
      <w:pPr>
        <w:pStyle w:val="ListParagraph"/>
        <w:numPr>
          <w:ilvl w:val="0"/>
          <w:numId w:val="16"/>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saobraćajna saglasnost za pristup javnim saobraćajnicama;</w:t>
      </w:r>
    </w:p>
    <w:p w:rsidR="00376D30" w:rsidRPr="002A0BEE" w:rsidRDefault="009248F4" w:rsidP="002E447F">
      <w:pPr>
        <w:pStyle w:val="ListParagraph"/>
        <w:numPr>
          <w:ilvl w:val="0"/>
          <w:numId w:val="16"/>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licenca za izvođenje radova;</w:t>
      </w:r>
    </w:p>
    <w:p w:rsidR="009248F4" w:rsidRPr="002A0BEE" w:rsidRDefault="009248F4" w:rsidP="00392D99">
      <w:pPr>
        <w:pStyle w:val="ListParagraph"/>
        <w:numPr>
          <w:ilvl w:val="0"/>
          <w:numId w:val="16"/>
        </w:numPr>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 dokaz o plaćenoj naknadi za promjenu namjene korišćenja poljoprivrednog zemljišta.</w:t>
      </w:r>
    </w:p>
    <w:p w:rsidR="009248F4" w:rsidRPr="002A0BEE" w:rsidRDefault="009248F4"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9248F4" w:rsidRPr="002A0BEE" w:rsidRDefault="009248F4" w:rsidP="0055031D">
      <w:pPr>
        <w:pStyle w:val="Heading3"/>
        <w:numPr>
          <w:ilvl w:val="2"/>
          <w:numId w:val="47"/>
        </w:numPr>
        <w:spacing w:before="0" w:after="200"/>
        <w:rPr>
          <w:rFonts w:cstheme="minorHAnsi"/>
          <w:szCs w:val="24"/>
          <w:lang w:val="sr-Latn-CS"/>
        </w:rPr>
      </w:pPr>
      <w:bookmarkStart w:id="186" w:name="_Toc390549925"/>
      <w:bookmarkStart w:id="187" w:name="_Toc401959455"/>
      <w:bookmarkStart w:id="188" w:name="_Toc401959548"/>
      <w:bookmarkStart w:id="189" w:name="_Toc435529036"/>
      <w:bookmarkStart w:id="190" w:name="_Toc436124913"/>
      <w:r w:rsidRPr="002A0BEE">
        <w:rPr>
          <w:rFonts w:cstheme="minorHAnsi"/>
          <w:szCs w:val="24"/>
          <w:lang w:val="sr-Latn-CS"/>
        </w:rPr>
        <w:t>Odobrenje za upotrebu rudarskih objekata</w:t>
      </w:r>
      <w:bookmarkEnd w:id="186"/>
      <w:bookmarkEnd w:id="187"/>
      <w:bookmarkEnd w:id="188"/>
      <w:bookmarkEnd w:id="189"/>
      <w:bookmarkEnd w:id="190"/>
    </w:p>
    <w:p w:rsidR="009248F4" w:rsidRPr="002A0BEE" w:rsidRDefault="009248F4"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9248F4" w:rsidRPr="002A0BEE" w:rsidRDefault="009248F4"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9248F4" w:rsidRPr="002A0BEE" w:rsidRDefault="009248F4"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Tehnički pregled i odobrenje za upotrebu rudarskih objekata ili dijela objekta vrši nadležni organ preko stručne komisije ili pravnog lica u skladu sa propisima o izgradnji objekata.</w:t>
      </w:r>
    </w:p>
    <w:p w:rsidR="009248F4" w:rsidRPr="002A0BEE" w:rsidRDefault="009248F4"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lastRenderedPageBreak/>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9248F4" w:rsidRPr="002A0BEE" w:rsidRDefault="009248F4" w:rsidP="0055031D">
      <w:pPr>
        <w:pStyle w:val="Heading2"/>
        <w:numPr>
          <w:ilvl w:val="2"/>
          <w:numId w:val="47"/>
        </w:numPr>
        <w:tabs>
          <w:tab w:val="left" w:pos="1440"/>
        </w:tabs>
        <w:spacing w:before="0" w:after="200"/>
        <w:ind w:left="1166"/>
        <w:rPr>
          <w:rFonts w:cstheme="minorHAnsi"/>
          <w:szCs w:val="24"/>
          <w:lang w:val="sr-Latn-CS"/>
        </w:rPr>
      </w:pPr>
      <w:bookmarkStart w:id="191" w:name="_Toc390549926"/>
      <w:bookmarkStart w:id="192" w:name="_Toc401959456"/>
      <w:bookmarkStart w:id="193" w:name="_Toc401959549"/>
      <w:bookmarkStart w:id="194" w:name="_Toc435529037"/>
      <w:bookmarkStart w:id="195" w:name="_Toc436124914"/>
      <w:r w:rsidRPr="002A0BEE">
        <w:rPr>
          <w:rFonts w:cstheme="minorHAnsi"/>
          <w:szCs w:val="24"/>
          <w:lang w:val="sr-Latn-CS"/>
        </w:rPr>
        <w:t>Hronologija izrade tehničke dokumentacije i pribavljanja odobrenja i</w:t>
      </w:r>
      <w:r w:rsidR="003F7D68" w:rsidRPr="002A0BEE">
        <w:rPr>
          <w:rFonts w:cstheme="minorHAnsi"/>
          <w:szCs w:val="24"/>
          <w:lang w:val="sr-Latn-CS"/>
        </w:rPr>
        <w:t xml:space="preserve"> s</w:t>
      </w:r>
      <w:r w:rsidRPr="002A0BEE">
        <w:rPr>
          <w:rFonts w:cstheme="minorHAnsi"/>
          <w:szCs w:val="24"/>
          <w:lang w:val="sr-Latn-CS"/>
        </w:rPr>
        <w:t>aglasnosti za izvođenje rudarskih radova</w:t>
      </w:r>
      <w:bookmarkEnd w:id="191"/>
      <w:bookmarkEnd w:id="192"/>
      <w:bookmarkEnd w:id="193"/>
      <w:bookmarkEnd w:id="194"/>
      <w:bookmarkEnd w:id="195"/>
    </w:p>
    <w:p w:rsidR="009248F4" w:rsidRPr="002A0BEE" w:rsidRDefault="009248F4" w:rsidP="002E447F">
      <w:pPr>
        <w:pStyle w:val="ListParagraph"/>
        <w:numPr>
          <w:ilvl w:val="0"/>
          <w:numId w:val="17"/>
        </w:numPr>
        <w:tabs>
          <w:tab w:val="left" w:pos="1980"/>
        </w:tabs>
        <w:spacing w:after="0"/>
        <w:ind w:left="1170" w:hanging="450"/>
        <w:rPr>
          <w:rFonts w:asciiTheme="majorHAnsi" w:hAnsiTheme="majorHAnsi" w:cstheme="minorHAnsi"/>
          <w:szCs w:val="24"/>
          <w:lang w:val="sr-Latn-CS"/>
        </w:rPr>
      </w:pPr>
      <w:r w:rsidRPr="002A0BEE">
        <w:rPr>
          <w:rFonts w:asciiTheme="majorHAnsi" w:hAnsiTheme="majorHAnsi" w:cstheme="minorHAnsi"/>
          <w:szCs w:val="24"/>
          <w:lang w:val="sr-Latn-CS"/>
        </w:rPr>
        <w:t xml:space="preserve">Izdavanje Licence za izvođenje rudarskih radova; </w:t>
      </w:r>
    </w:p>
    <w:p w:rsidR="009248F4" w:rsidRPr="002A0BEE" w:rsidRDefault="009248F4" w:rsidP="002E447F">
      <w:pPr>
        <w:pStyle w:val="ListParagraph"/>
        <w:numPr>
          <w:ilvl w:val="0"/>
          <w:numId w:val="17"/>
        </w:numPr>
        <w:tabs>
          <w:tab w:val="left" w:pos="1980"/>
        </w:tabs>
        <w:spacing w:after="0"/>
        <w:ind w:left="1980" w:hanging="1260"/>
        <w:rPr>
          <w:rFonts w:asciiTheme="majorHAnsi" w:hAnsiTheme="majorHAnsi" w:cstheme="minorHAnsi"/>
          <w:szCs w:val="24"/>
          <w:lang w:val="sr-Latn-CS"/>
        </w:rPr>
      </w:pPr>
      <w:r w:rsidRPr="002A0BEE">
        <w:rPr>
          <w:rFonts w:asciiTheme="majorHAnsi" w:hAnsiTheme="majorHAnsi" w:cstheme="minorHAnsi"/>
          <w:szCs w:val="24"/>
          <w:lang w:val="sr-Latn-CS"/>
        </w:rPr>
        <w:t>Izrada rudarskog projekta i njegova revizija od strane Ministarstva ekonomije;</w:t>
      </w:r>
    </w:p>
    <w:p w:rsidR="009248F4" w:rsidRPr="002A0BEE" w:rsidRDefault="009248F4" w:rsidP="002E447F">
      <w:pPr>
        <w:pStyle w:val="ListParagraph"/>
        <w:numPr>
          <w:ilvl w:val="0"/>
          <w:numId w:val="17"/>
        </w:numPr>
        <w:tabs>
          <w:tab w:val="left" w:pos="1980"/>
        </w:tabs>
        <w:spacing w:after="0"/>
        <w:ind w:left="1980" w:hanging="1260"/>
        <w:rPr>
          <w:rFonts w:asciiTheme="majorHAnsi" w:hAnsiTheme="majorHAnsi" w:cstheme="minorHAnsi"/>
          <w:szCs w:val="24"/>
          <w:lang w:val="sr-Latn-CS"/>
        </w:rPr>
      </w:pPr>
      <w:r w:rsidRPr="002A0BEE">
        <w:rPr>
          <w:rFonts w:asciiTheme="majorHAnsi" w:hAnsiTheme="majorHAnsi" w:cstheme="minorHAnsi"/>
          <w:szCs w:val="24"/>
          <w:lang w:val="sr-Latn-CS"/>
        </w:rPr>
        <w:t>Dobijanje odobrenja za eksploataciju mineralne sirovine na eksploatacionom polju;</w:t>
      </w:r>
    </w:p>
    <w:p w:rsidR="009248F4" w:rsidRPr="002A0BEE" w:rsidRDefault="009248F4" w:rsidP="002E447F">
      <w:pPr>
        <w:pStyle w:val="ListParagraph"/>
        <w:numPr>
          <w:ilvl w:val="0"/>
          <w:numId w:val="17"/>
        </w:numPr>
        <w:spacing w:after="0"/>
        <w:ind w:left="1980" w:hanging="1260"/>
        <w:rPr>
          <w:rFonts w:asciiTheme="majorHAnsi" w:hAnsiTheme="majorHAnsi" w:cstheme="minorHAnsi"/>
          <w:szCs w:val="24"/>
          <w:lang w:val="sr-Latn-CS"/>
        </w:rPr>
      </w:pPr>
      <w:r w:rsidRPr="002A0BEE">
        <w:rPr>
          <w:rFonts w:asciiTheme="majorHAnsi" w:hAnsiTheme="majorHAnsi" w:cstheme="minorHAnsi"/>
          <w:szCs w:val="24"/>
          <w:lang w:val="sr-Latn-CS"/>
        </w:rPr>
        <w:t>Dobijanje odobrenja za izvođenje radova po rudarskom projektu;</w:t>
      </w:r>
    </w:p>
    <w:p w:rsidR="009248F4" w:rsidRPr="002A0BEE" w:rsidRDefault="009248F4" w:rsidP="002E447F">
      <w:pPr>
        <w:pStyle w:val="ListParagraph"/>
        <w:numPr>
          <w:ilvl w:val="0"/>
          <w:numId w:val="17"/>
        </w:numPr>
        <w:tabs>
          <w:tab w:val="left" w:pos="1980"/>
        </w:tabs>
        <w:spacing w:after="0"/>
        <w:ind w:left="990" w:hanging="270"/>
        <w:rPr>
          <w:rFonts w:asciiTheme="majorHAnsi" w:hAnsiTheme="majorHAnsi" w:cstheme="minorHAnsi"/>
          <w:szCs w:val="24"/>
          <w:lang w:val="sr-Latn-CS"/>
        </w:rPr>
      </w:pPr>
      <w:r w:rsidRPr="002A0BEE">
        <w:rPr>
          <w:rFonts w:asciiTheme="majorHAnsi" w:hAnsiTheme="majorHAnsi" w:cstheme="minorHAnsi"/>
          <w:szCs w:val="24"/>
          <w:lang w:val="sr-Latn-CS"/>
        </w:rPr>
        <w:t>Tehnički prijem rudarskih objekata.</w:t>
      </w:r>
    </w:p>
    <w:p w:rsidR="00940407" w:rsidRPr="002A0BEE" w:rsidRDefault="00940407" w:rsidP="002E447F">
      <w:pPr>
        <w:pStyle w:val="ListParagraph"/>
        <w:tabs>
          <w:tab w:val="left" w:pos="1980"/>
        </w:tabs>
        <w:spacing w:after="0"/>
        <w:ind w:left="990"/>
        <w:rPr>
          <w:rFonts w:asciiTheme="majorHAnsi" w:hAnsiTheme="majorHAnsi" w:cstheme="minorHAnsi"/>
          <w:szCs w:val="24"/>
          <w:lang w:val="sr-Latn-CS"/>
        </w:rPr>
      </w:pPr>
    </w:p>
    <w:p w:rsidR="009248F4" w:rsidRPr="002A0BEE" w:rsidRDefault="009248F4" w:rsidP="0055031D">
      <w:pPr>
        <w:pStyle w:val="Heading1"/>
        <w:numPr>
          <w:ilvl w:val="0"/>
          <w:numId w:val="47"/>
        </w:numPr>
        <w:spacing w:before="0" w:after="200"/>
        <w:rPr>
          <w:rFonts w:asciiTheme="majorHAnsi" w:hAnsiTheme="majorHAnsi" w:cstheme="minorHAnsi"/>
          <w:sz w:val="24"/>
          <w:szCs w:val="24"/>
          <w:lang w:val="sr-Latn-CS"/>
        </w:rPr>
      </w:pPr>
      <w:bookmarkStart w:id="196" w:name="_Toc390549927"/>
      <w:bookmarkStart w:id="197" w:name="_Toc401959457"/>
      <w:bookmarkStart w:id="198" w:name="_Toc401959550"/>
      <w:bookmarkStart w:id="199" w:name="_Toc435529038"/>
      <w:bookmarkStart w:id="200" w:name="_Toc436124915"/>
      <w:r w:rsidRPr="002A0BEE">
        <w:rPr>
          <w:rFonts w:asciiTheme="majorHAnsi" w:hAnsiTheme="majorHAnsi" w:cstheme="minorHAnsi"/>
          <w:sz w:val="24"/>
          <w:szCs w:val="24"/>
          <w:lang w:val="sr-Latn-CS"/>
        </w:rPr>
        <w:t>Osnovni elementi tenderske dokumentacije (javni oglas, dokumentacija vezana za ponudu)</w:t>
      </w:r>
      <w:bookmarkEnd w:id="196"/>
      <w:bookmarkEnd w:id="197"/>
      <w:bookmarkEnd w:id="198"/>
      <w:bookmarkEnd w:id="199"/>
      <w:bookmarkEnd w:id="200"/>
    </w:p>
    <w:p w:rsidR="009248F4" w:rsidRPr="002A0BEE" w:rsidRDefault="009248F4" w:rsidP="00392D99">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Tendersku dokumentaciju čine sljedeća dokumenta:</w:t>
      </w:r>
    </w:p>
    <w:p w:rsidR="009248F4" w:rsidRPr="002A0BEE" w:rsidRDefault="009248F4" w:rsidP="002E447F">
      <w:pPr>
        <w:numPr>
          <w:ilvl w:val="0"/>
          <w:numId w:val="18"/>
        </w:numPr>
        <w:spacing w:after="0"/>
        <w:jc w:val="both"/>
        <w:rPr>
          <w:rFonts w:asciiTheme="majorHAnsi" w:eastAsia="Times New Roman" w:hAnsiTheme="majorHAnsi" w:cstheme="minorHAnsi"/>
          <w:szCs w:val="24"/>
          <w:lang w:val="sr-Latn-CS"/>
        </w:rPr>
      </w:pPr>
      <w:r w:rsidRPr="002A0BEE">
        <w:rPr>
          <w:rFonts w:asciiTheme="majorHAnsi" w:hAnsiTheme="majorHAnsi" w:cstheme="minorHAnsi"/>
          <w:szCs w:val="24"/>
          <w:lang w:val="sr-Latn-CS"/>
        </w:rPr>
        <w:t>K</w:t>
      </w:r>
      <w:r w:rsidRPr="002A0BEE">
        <w:rPr>
          <w:rFonts w:asciiTheme="majorHAnsi" w:eastAsia="Times New Roman" w:hAnsiTheme="majorHAnsi" w:cstheme="minorHAnsi"/>
          <w:szCs w:val="24"/>
          <w:lang w:val="sr-Latn-CS"/>
        </w:rPr>
        <w:t>oncesioni akt;</w:t>
      </w:r>
    </w:p>
    <w:p w:rsidR="009248F4" w:rsidRPr="002A0BEE" w:rsidRDefault="009248F4" w:rsidP="002E447F">
      <w:pPr>
        <w:numPr>
          <w:ilvl w:val="0"/>
          <w:numId w:val="18"/>
        </w:numPr>
        <w:spacing w:after="0"/>
        <w:jc w:val="both"/>
        <w:rPr>
          <w:rFonts w:asciiTheme="majorHAnsi" w:eastAsia="Times New Roman" w:hAnsiTheme="majorHAnsi" w:cstheme="minorHAnsi"/>
          <w:szCs w:val="24"/>
          <w:lang w:val="sr-Latn-CS"/>
        </w:rPr>
      </w:pPr>
      <w:r w:rsidRPr="002A0BEE">
        <w:rPr>
          <w:rFonts w:asciiTheme="majorHAnsi" w:hAnsiTheme="majorHAnsi" w:cstheme="minorHAnsi"/>
          <w:szCs w:val="24"/>
          <w:lang w:val="sr-Latn-CS"/>
        </w:rPr>
        <w:t>D</w:t>
      </w:r>
      <w:r w:rsidRPr="002A0BEE">
        <w:rPr>
          <w:rFonts w:asciiTheme="majorHAnsi" w:eastAsia="Times New Roman" w:hAnsiTheme="majorHAnsi" w:cstheme="minorHAnsi"/>
          <w:szCs w:val="24"/>
          <w:lang w:val="sr-Latn-CS"/>
        </w:rPr>
        <w:t>okumentacija vezana uz ponudu;</w:t>
      </w:r>
    </w:p>
    <w:p w:rsidR="009248F4" w:rsidRPr="002A0BEE" w:rsidRDefault="009248F4" w:rsidP="002E447F">
      <w:pPr>
        <w:numPr>
          <w:ilvl w:val="0"/>
          <w:numId w:val="18"/>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J</w:t>
      </w:r>
      <w:r w:rsidRPr="002A0BEE">
        <w:rPr>
          <w:rFonts w:asciiTheme="majorHAnsi" w:eastAsia="Times New Roman" w:hAnsiTheme="majorHAnsi" w:cstheme="minorHAnsi"/>
          <w:szCs w:val="24"/>
          <w:lang w:val="sr-Latn-CS"/>
        </w:rPr>
        <w:t>avni oglas;</w:t>
      </w:r>
      <w:r w:rsidRPr="002A0BEE">
        <w:rPr>
          <w:rFonts w:asciiTheme="majorHAnsi" w:hAnsiTheme="majorHAnsi" w:cstheme="minorHAnsi"/>
          <w:szCs w:val="24"/>
          <w:lang w:val="sr-Latn-CS"/>
        </w:rPr>
        <w:t xml:space="preserve"> </w:t>
      </w:r>
    </w:p>
    <w:p w:rsidR="009248F4" w:rsidRPr="002A0BEE" w:rsidRDefault="009248F4" w:rsidP="002E447F">
      <w:pPr>
        <w:numPr>
          <w:ilvl w:val="0"/>
          <w:numId w:val="18"/>
        </w:numPr>
        <w:spacing w:after="0"/>
        <w:jc w:val="both"/>
        <w:rPr>
          <w:rFonts w:asciiTheme="majorHAnsi" w:eastAsia="Times New Roman" w:hAnsiTheme="majorHAnsi" w:cstheme="minorHAnsi"/>
          <w:szCs w:val="24"/>
          <w:lang w:val="sr-Latn-CS"/>
        </w:rPr>
      </w:pPr>
      <w:r w:rsidRPr="002A0BEE">
        <w:rPr>
          <w:rFonts w:asciiTheme="majorHAnsi" w:hAnsiTheme="majorHAnsi" w:cstheme="minorHAnsi"/>
          <w:szCs w:val="24"/>
          <w:lang w:val="sr-Latn-CS"/>
        </w:rPr>
        <w:t>Uputstvo za podnošenje ponuda i</w:t>
      </w:r>
    </w:p>
    <w:p w:rsidR="009248F4" w:rsidRPr="002A0BEE" w:rsidRDefault="009248F4" w:rsidP="002E447F">
      <w:pPr>
        <w:numPr>
          <w:ilvl w:val="0"/>
          <w:numId w:val="18"/>
        </w:numPr>
        <w:spacing w:after="0"/>
        <w:jc w:val="both"/>
        <w:rPr>
          <w:rFonts w:asciiTheme="majorHAnsi" w:eastAsia="Times New Roman" w:hAnsiTheme="majorHAnsi" w:cstheme="minorHAnsi"/>
          <w:szCs w:val="24"/>
          <w:lang w:val="sr-Latn-CS"/>
        </w:rPr>
      </w:pPr>
      <w:r w:rsidRPr="002A0BEE">
        <w:rPr>
          <w:rFonts w:asciiTheme="majorHAnsi" w:hAnsiTheme="majorHAnsi" w:cstheme="minorHAnsi"/>
          <w:szCs w:val="24"/>
          <w:lang w:val="sr-Latn-CS"/>
        </w:rPr>
        <w:t>N</w:t>
      </w:r>
      <w:r w:rsidRPr="002A0BEE">
        <w:rPr>
          <w:rFonts w:asciiTheme="majorHAnsi" w:eastAsia="Times New Roman" w:hAnsiTheme="majorHAnsi" w:cstheme="minorHAnsi"/>
          <w:szCs w:val="24"/>
          <w:lang w:val="sr-Latn-CS"/>
        </w:rPr>
        <w:t>acrt ugovora o koncesiji.</w:t>
      </w:r>
      <w:bookmarkStart w:id="201" w:name="_Toc390549928"/>
    </w:p>
    <w:p w:rsidR="009248F4" w:rsidRPr="002A0BEE" w:rsidRDefault="009248F4" w:rsidP="002E447F">
      <w:pPr>
        <w:spacing w:after="0"/>
        <w:ind w:left="360"/>
        <w:jc w:val="both"/>
        <w:rPr>
          <w:rFonts w:asciiTheme="majorHAnsi" w:eastAsia="Times New Roman" w:hAnsiTheme="majorHAnsi" w:cstheme="minorHAnsi"/>
          <w:szCs w:val="24"/>
          <w:lang w:val="sr-Latn-CS"/>
        </w:rPr>
      </w:pPr>
    </w:p>
    <w:p w:rsidR="009248F4" w:rsidRPr="002A0BEE" w:rsidRDefault="009248F4" w:rsidP="0055031D">
      <w:pPr>
        <w:pStyle w:val="Heading2"/>
        <w:numPr>
          <w:ilvl w:val="1"/>
          <w:numId w:val="47"/>
        </w:numPr>
        <w:tabs>
          <w:tab w:val="left" w:pos="1080"/>
        </w:tabs>
        <w:spacing w:before="0" w:after="200"/>
        <w:rPr>
          <w:rFonts w:eastAsia="Times New Roman" w:cstheme="minorHAnsi"/>
          <w:szCs w:val="24"/>
          <w:lang w:val="sr-Latn-CS"/>
        </w:rPr>
      </w:pPr>
      <w:bookmarkStart w:id="202" w:name="_Toc401959458"/>
      <w:bookmarkStart w:id="203" w:name="_Toc401959551"/>
      <w:bookmarkStart w:id="204" w:name="_Toc435529039"/>
      <w:bookmarkStart w:id="205" w:name="_Toc436124916"/>
      <w:r w:rsidRPr="002A0BEE">
        <w:rPr>
          <w:rFonts w:cstheme="minorHAnsi"/>
          <w:szCs w:val="24"/>
          <w:lang w:val="sr-Latn-CS"/>
        </w:rPr>
        <w:t>D</w:t>
      </w:r>
      <w:r w:rsidRPr="002A0BEE">
        <w:rPr>
          <w:rFonts w:eastAsia="Times New Roman" w:cstheme="minorHAnsi"/>
          <w:szCs w:val="24"/>
          <w:lang w:val="sr-Latn-CS"/>
        </w:rPr>
        <w:t>okumentacija koja se prilaže uz ponudu</w:t>
      </w:r>
      <w:bookmarkEnd w:id="201"/>
      <w:bookmarkEnd w:id="202"/>
      <w:bookmarkEnd w:id="203"/>
      <w:bookmarkEnd w:id="204"/>
      <w:bookmarkEnd w:id="205"/>
    </w:p>
    <w:p w:rsidR="009248F4" w:rsidRPr="002A0BEE" w:rsidRDefault="00574678"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t>Shodno članu 23 Zakona o koncesijama nepodobni da učestvuju na javnom nadmetanju za davanje koncesije su:</w:t>
      </w:r>
    </w:p>
    <w:p w:rsidR="009248F4" w:rsidRPr="002A0BEE" w:rsidRDefault="00574678" w:rsidP="0055031D">
      <w:pPr>
        <w:pStyle w:val="ListParagraph"/>
        <w:numPr>
          <w:ilvl w:val="0"/>
          <w:numId w:val="19"/>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privredna društva, druga pravna lica i preduzetnici nad kojima je pokrenut postupak stečaja ili likvidacije, osim postupka reorganizacije u skladu sa zakonom kojim je uređena insolventnost privrednih društava;</w:t>
      </w:r>
    </w:p>
    <w:p w:rsidR="009248F4" w:rsidRPr="002A0BEE" w:rsidRDefault="00574678" w:rsidP="0055031D">
      <w:pPr>
        <w:pStyle w:val="ListParagraph"/>
        <w:numPr>
          <w:ilvl w:val="0"/>
          <w:numId w:val="19"/>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privredna društva, druga pravna lica, preduzetnici i fizička lica koja su pravosnažnom presudom osuđena za krivično djelo izvršeno u vršenju profesionalne djelatnosti;</w:t>
      </w:r>
    </w:p>
    <w:p w:rsidR="009248F4" w:rsidRPr="002A0BEE" w:rsidRDefault="00574678" w:rsidP="0055031D">
      <w:pPr>
        <w:pStyle w:val="ListParagraph"/>
        <w:numPr>
          <w:ilvl w:val="0"/>
          <w:numId w:val="19"/>
        </w:numPr>
        <w:jc w:val="both"/>
        <w:rPr>
          <w:rFonts w:asciiTheme="majorHAnsi" w:hAnsiTheme="majorHAnsi" w:cstheme="minorHAnsi"/>
          <w:szCs w:val="24"/>
          <w:lang w:val="sr-Latn-CS"/>
        </w:rPr>
      </w:pPr>
      <w:r w:rsidRPr="002A0BEE">
        <w:rPr>
          <w:rFonts w:asciiTheme="majorHAnsi" w:hAnsiTheme="majorHAnsi" w:cstheme="minorHAnsi"/>
          <w:szCs w:val="24"/>
          <w:lang w:val="sr-Latn-CS"/>
        </w:rPr>
        <w:t>privredna društva, druga pravna lica, preduzetnici i fizička lica koja imaju neizmirene poreske obaveze i obaveze po osnovu kazni izrečenih u krivičnom ili prekršajnom postupku, u periodu od najmanje tri godine prije objavljivanja javnog oglasa.</w:t>
      </w:r>
    </w:p>
    <w:p w:rsidR="0046570D" w:rsidRPr="002A0BEE" w:rsidRDefault="0046570D" w:rsidP="0046570D">
      <w:pPr>
        <w:jc w:val="both"/>
        <w:rPr>
          <w:rFonts w:asciiTheme="majorHAnsi" w:hAnsiTheme="majorHAnsi"/>
          <w:szCs w:val="24"/>
          <w:lang w:val="sr-Latn-CS"/>
        </w:rPr>
      </w:pPr>
      <w:r w:rsidRPr="002A0BEE">
        <w:rPr>
          <w:rFonts w:asciiTheme="majorHAnsi" w:hAnsiTheme="majorHAnsi" w:cstheme="minorHAnsi"/>
          <w:szCs w:val="24"/>
          <w:lang w:val="sr-Latn-CS"/>
        </w:rPr>
        <w:lastRenderedPageBreak/>
        <w:t>S tim u vezi, u cilju dokazivanja da je ponuđač podoban da učestvuje u postupku javog nadmetanja, neophodno je dostaviti sljedeću dokumentaciju:</w:t>
      </w:r>
    </w:p>
    <w:p w:rsidR="0046570D" w:rsidRPr="002A0BEE" w:rsidRDefault="0046570D" w:rsidP="0055031D">
      <w:pPr>
        <w:numPr>
          <w:ilvl w:val="0"/>
          <w:numId w:val="41"/>
        </w:numPr>
        <w:spacing w:after="0"/>
        <w:jc w:val="both"/>
        <w:rPr>
          <w:rFonts w:asciiTheme="majorHAnsi" w:eastAsia="Times New Roman" w:hAnsiTheme="majorHAnsi"/>
          <w:szCs w:val="24"/>
          <w:lang w:val="sr-Latn-CS"/>
        </w:rPr>
      </w:pPr>
      <w:r w:rsidRPr="002A0BEE">
        <w:rPr>
          <w:rFonts w:asciiTheme="majorHAnsi" w:eastAsia="Times New Roman" w:hAnsiTheme="majorHAnsi"/>
          <w:szCs w:val="24"/>
          <w:lang w:val="sr-Latn-CS"/>
        </w:rPr>
        <w:t>Izvod iz sudskog, ili drugog odgovarajućeg registra države u kojoj ponuđač ima sjedište;</w:t>
      </w:r>
    </w:p>
    <w:p w:rsidR="0046570D" w:rsidRPr="002A0BEE" w:rsidRDefault="0046570D" w:rsidP="0055031D">
      <w:pPr>
        <w:numPr>
          <w:ilvl w:val="0"/>
          <w:numId w:val="42"/>
        </w:numPr>
        <w:spacing w:after="0"/>
        <w:jc w:val="both"/>
        <w:rPr>
          <w:rFonts w:asciiTheme="majorHAnsi" w:eastAsia="Times New Roman" w:hAnsiTheme="majorHAnsi"/>
          <w:szCs w:val="24"/>
          <w:lang w:val="sr-Latn-CS"/>
        </w:rPr>
      </w:pPr>
      <w:r w:rsidRPr="002A0BEE">
        <w:rPr>
          <w:rFonts w:asciiTheme="majorHAnsi" w:eastAsia="Times New Roman" w:hAnsiTheme="majorHAnsi"/>
          <w:szCs w:val="24"/>
          <w:lang w:val="sr-Latn-CS"/>
        </w:rPr>
        <w:t>dokaz da protiv privrednog društva, drugog pravnog lica i preduzetnika nije pokrenut postupak stečaja ili likvidacije - dokaz/potvrdu izdaje Privredni sud;</w:t>
      </w:r>
    </w:p>
    <w:p w:rsidR="0046570D" w:rsidRPr="002A0BEE" w:rsidRDefault="0046570D" w:rsidP="0055031D">
      <w:pPr>
        <w:numPr>
          <w:ilvl w:val="0"/>
          <w:numId w:val="42"/>
        </w:numPr>
        <w:spacing w:after="0"/>
        <w:jc w:val="both"/>
        <w:rPr>
          <w:rFonts w:asciiTheme="majorHAnsi" w:eastAsia="Times New Roman" w:hAnsiTheme="majorHAnsi"/>
          <w:szCs w:val="24"/>
          <w:lang w:val="sr-Latn-CS"/>
        </w:rPr>
      </w:pPr>
      <w:r w:rsidRPr="002A0BEE">
        <w:rPr>
          <w:rFonts w:asciiTheme="majorHAnsi" w:eastAsia="Times New Roman" w:hAnsiTheme="majorHAnsi"/>
          <w:szCs w:val="24"/>
          <w:lang w:val="sr-Latn-CS"/>
        </w:rPr>
        <w:t>dokaz da privredno društvo, drugo pravno lice, preduzetnik i fizičko lice nije pravosnažno osuđeno za krivično djelo izvršeno u vršenju profesionalne djelatnosti – dokaz/potvrdu izdaje Centralni registar privrednih subjekata Poreske uprave za privredna društva, druga pravna lica i preduzetnike, a za fizička lica dokaz/potvrdu izdaje nadležni Osnovni sud;</w:t>
      </w:r>
    </w:p>
    <w:p w:rsidR="0046570D" w:rsidRPr="002A0BEE" w:rsidRDefault="0046570D" w:rsidP="0055031D">
      <w:pPr>
        <w:numPr>
          <w:ilvl w:val="0"/>
          <w:numId w:val="42"/>
        </w:numPr>
        <w:spacing w:after="0"/>
        <w:jc w:val="both"/>
        <w:rPr>
          <w:rFonts w:asciiTheme="majorHAnsi" w:eastAsia="Times New Roman" w:hAnsiTheme="majorHAnsi"/>
          <w:szCs w:val="24"/>
          <w:lang w:val="sr-Latn-CS"/>
        </w:rPr>
      </w:pPr>
      <w:r w:rsidRPr="002A0BEE">
        <w:rPr>
          <w:rFonts w:asciiTheme="majorHAnsi" w:eastAsia="Times New Roman" w:hAnsiTheme="majorHAnsi"/>
          <w:szCs w:val="24"/>
          <w:lang w:val="sr-Latn-CS"/>
        </w:rPr>
        <w:t>dokaz da je privredno društvo, drugo pravno lice, preduzetnik i fizičko lice izmirilo obaveze po osnovu plaćanja poreza – dokaz/potvrda se izdaje od poreskog organa uprave u kojem je naznačeno da su izmirene obaveze po osnovu poreza;</w:t>
      </w:r>
    </w:p>
    <w:p w:rsidR="0046570D" w:rsidRPr="002A0BEE" w:rsidRDefault="0046570D" w:rsidP="0055031D">
      <w:pPr>
        <w:numPr>
          <w:ilvl w:val="0"/>
          <w:numId w:val="42"/>
        </w:numPr>
        <w:jc w:val="both"/>
        <w:rPr>
          <w:rFonts w:asciiTheme="majorHAnsi" w:eastAsia="Times New Roman" w:hAnsiTheme="majorHAnsi"/>
          <w:szCs w:val="24"/>
          <w:lang w:val="sr-Latn-CS"/>
        </w:rPr>
      </w:pPr>
      <w:r w:rsidRPr="002A0BEE">
        <w:rPr>
          <w:rFonts w:asciiTheme="majorHAnsi" w:eastAsia="Times New Roman" w:hAnsiTheme="majorHAnsi"/>
          <w:szCs w:val="24"/>
          <w:lang w:val="sr-Latn-CS"/>
        </w:rPr>
        <w:t>dokaz da privredno društvo, drugo pravno lice, preduzetnik i fizičko lice nema neizmirenih obaveza po osnovu kazni izrečenih u krivičnom ili prekršajnom postupku u periodu od najmanje tri godine prije objavljivanja javnog oglasa:</w:t>
      </w:r>
    </w:p>
    <w:p w:rsidR="0046570D" w:rsidRPr="002A0BEE" w:rsidRDefault="0046570D" w:rsidP="0055031D">
      <w:pPr>
        <w:numPr>
          <w:ilvl w:val="0"/>
          <w:numId w:val="43"/>
        </w:numPr>
        <w:jc w:val="both"/>
        <w:rPr>
          <w:rFonts w:asciiTheme="majorHAnsi" w:hAnsiTheme="majorHAnsi"/>
          <w:szCs w:val="24"/>
          <w:lang w:val="sr-Latn-CS"/>
        </w:rPr>
      </w:pPr>
      <w:r w:rsidRPr="002A0BEE">
        <w:rPr>
          <w:rFonts w:asciiTheme="majorHAnsi" w:hAnsiTheme="majorHAnsi"/>
          <w:szCs w:val="24"/>
          <w:lang w:val="sr-Latn-CS"/>
        </w:rPr>
        <w:t>ponuđač kao privredno društvo, drugo pravno lice i preduzetnik:</w:t>
      </w:r>
    </w:p>
    <w:p w:rsidR="0046570D" w:rsidRPr="002A0BEE" w:rsidRDefault="0046570D" w:rsidP="0055031D">
      <w:pPr>
        <w:numPr>
          <w:ilvl w:val="1"/>
          <w:numId w:val="42"/>
        </w:numPr>
        <w:spacing w:after="0"/>
        <w:jc w:val="both"/>
        <w:rPr>
          <w:rFonts w:asciiTheme="majorHAnsi" w:hAnsiTheme="majorHAnsi"/>
          <w:szCs w:val="24"/>
          <w:lang w:val="sr-Latn-CS"/>
        </w:rPr>
      </w:pPr>
      <w:r w:rsidRPr="002A0BEE">
        <w:rPr>
          <w:rFonts w:asciiTheme="majorHAnsi" w:hAnsiTheme="majorHAnsi"/>
          <w:szCs w:val="24"/>
          <w:lang w:val="sr-Latn-CS"/>
        </w:rPr>
        <w:t>dokaz/potvrda Centralnog registra privrednih subjekata Poreske uprave kojom se dokazuje da se ponuđač ne nalazi u kaznenoj evidenciji istog;</w:t>
      </w:r>
    </w:p>
    <w:p w:rsidR="0046570D" w:rsidRPr="002A0BEE" w:rsidRDefault="0046570D" w:rsidP="0055031D">
      <w:pPr>
        <w:numPr>
          <w:ilvl w:val="1"/>
          <w:numId w:val="42"/>
        </w:numPr>
        <w:jc w:val="both"/>
        <w:rPr>
          <w:rFonts w:asciiTheme="majorHAnsi" w:hAnsiTheme="majorHAnsi"/>
          <w:szCs w:val="24"/>
          <w:lang w:val="sr-Latn-CS"/>
        </w:rPr>
      </w:pPr>
      <w:r w:rsidRPr="002A0BEE">
        <w:rPr>
          <w:rFonts w:asciiTheme="majorHAnsi" w:hAnsiTheme="majorHAnsi"/>
          <w:szCs w:val="24"/>
          <w:lang w:val="sr-Latn-CS"/>
        </w:rPr>
        <w:t>dokaz/potvrda područnog organa za prekršaje iz mjesta sjedišta ponuđača ili nadležnog organa, kojom se dokazuje da ponuđač nema neizmirenih obaveza po osnovu kazni izrečenih u prekršajnom postupku;</w:t>
      </w:r>
    </w:p>
    <w:p w:rsidR="0046570D" w:rsidRPr="002A0BEE" w:rsidRDefault="0046570D" w:rsidP="0055031D">
      <w:pPr>
        <w:pStyle w:val="ListParagraph"/>
        <w:numPr>
          <w:ilvl w:val="0"/>
          <w:numId w:val="43"/>
        </w:numPr>
        <w:contextualSpacing w:val="0"/>
        <w:jc w:val="both"/>
        <w:rPr>
          <w:rFonts w:asciiTheme="majorHAnsi" w:hAnsiTheme="majorHAnsi"/>
          <w:szCs w:val="24"/>
          <w:lang w:val="sr-Latn-CS"/>
        </w:rPr>
      </w:pPr>
      <w:r w:rsidRPr="002A0BEE">
        <w:rPr>
          <w:rFonts w:asciiTheme="majorHAnsi" w:hAnsiTheme="majorHAnsi"/>
          <w:szCs w:val="24"/>
          <w:lang w:val="sr-Latn-CS"/>
        </w:rPr>
        <w:t xml:space="preserve">ponuđač kao fizičko lice: </w:t>
      </w:r>
    </w:p>
    <w:p w:rsidR="0046570D" w:rsidRPr="002A0BEE" w:rsidRDefault="0046570D" w:rsidP="0055031D">
      <w:pPr>
        <w:pStyle w:val="ListParagraph"/>
        <w:numPr>
          <w:ilvl w:val="0"/>
          <w:numId w:val="44"/>
        </w:numPr>
        <w:spacing w:after="0"/>
        <w:ind w:left="1440"/>
        <w:contextualSpacing w:val="0"/>
        <w:jc w:val="both"/>
        <w:rPr>
          <w:rFonts w:asciiTheme="majorHAnsi" w:hAnsiTheme="majorHAnsi"/>
          <w:szCs w:val="24"/>
          <w:lang w:val="sr-Latn-CS"/>
        </w:rPr>
      </w:pPr>
      <w:r w:rsidRPr="002A0BEE">
        <w:rPr>
          <w:rFonts w:asciiTheme="majorHAnsi" w:hAnsiTheme="majorHAnsi"/>
          <w:szCs w:val="24"/>
          <w:lang w:val="sr-Latn-CS"/>
        </w:rPr>
        <w:t>dokaz/potvrda Ministarstva pravde kojom se dokazuje da je ponuđač izmirio obaveze po osnovu kazni izrečenih u krivičnom postupku;</w:t>
      </w:r>
    </w:p>
    <w:p w:rsidR="0046570D" w:rsidRPr="002A0BEE" w:rsidRDefault="0046570D" w:rsidP="0055031D">
      <w:pPr>
        <w:pStyle w:val="ListParagraph"/>
        <w:numPr>
          <w:ilvl w:val="0"/>
          <w:numId w:val="44"/>
        </w:numPr>
        <w:ind w:left="1440"/>
        <w:contextualSpacing w:val="0"/>
        <w:jc w:val="both"/>
        <w:rPr>
          <w:rFonts w:asciiTheme="majorHAnsi" w:hAnsiTheme="majorHAnsi"/>
          <w:szCs w:val="24"/>
          <w:lang w:val="sr-Latn-CS"/>
        </w:rPr>
      </w:pPr>
      <w:r w:rsidRPr="002A0BEE">
        <w:rPr>
          <w:rFonts w:asciiTheme="majorHAnsi" w:hAnsiTheme="majorHAnsi"/>
          <w:szCs w:val="24"/>
          <w:lang w:val="sr-Latn-CS"/>
        </w:rPr>
        <w:t>dokaz/potvrda Ministarstva pravde kojom se dokazuje da isto nema neizmirenih obaveza po osnovu kazni izrečenih u prekršajnom postupku.</w:t>
      </w:r>
    </w:p>
    <w:p w:rsidR="0046570D" w:rsidRPr="002A0BEE" w:rsidRDefault="0046570D" w:rsidP="0046570D">
      <w:pPr>
        <w:jc w:val="both"/>
        <w:rPr>
          <w:rFonts w:asciiTheme="majorHAnsi" w:hAnsiTheme="majorHAnsi"/>
          <w:szCs w:val="24"/>
          <w:lang w:val="sr-Latn-CS"/>
        </w:rPr>
      </w:pPr>
      <w:r w:rsidRPr="002A0BEE">
        <w:rPr>
          <w:rFonts w:asciiTheme="majorHAnsi" w:hAnsiTheme="majorHAnsi"/>
          <w:szCs w:val="24"/>
          <w:lang w:val="sr-Latn-CS"/>
        </w:rPr>
        <w:t>Navedeni dokazi ne smiju biti stariji od devedeset (90) dana od dana objavljivanja oglasa.</w:t>
      </w:r>
    </w:p>
    <w:p w:rsidR="0046570D" w:rsidRPr="002A0BEE" w:rsidRDefault="0046570D" w:rsidP="0046570D">
      <w:pPr>
        <w:jc w:val="both"/>
        <w:rPr>
          <w:rFonts w:asciiTheme="majorHAnsi" w:hAnsiTheme="majorHAnsi"/>
          <w:szCs w:val="24"/>
          <w:lang w:val="sr-Latn-CS"/>
        </w:rPr>
      </w:pPr>
      <w:r w:rsidRPr="002A0BEE">
        <w:rPr>
          <w:rFonts w:asciiTheme="majorHAnsi" w:hAnsiTheme="majorHAnsi"/>
          <w:szCs w:val="24"/>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9248F4" w:rsidRPr="002A0BEE" w:rsidRDefault="009248F4" w:rsidP="00392D99">
      <w:pPr>
        <w:jc w:val="both"/>
        <w:rPr>
          <w:rFonts w:asciiTheme="majorHAnsi" w:hAnsiTheme="majorHAnsi" w:cstheme="minorHAnsi"/>
          <w:szCs w:val="24"/>
          <w:lang w:val="sr-Latn-CS"/>
        </w:rPr>
      </w:pPr>
      <w:r w:rsidRPr="002A0BEE">
        <w:rPr>
          <w:rFonts w:asciiTheme="majorHAnsi" w:hAnsiTheme="majorHAnsi" w:cstheme="minorHAnsi"/>
          <w:szCs w:val="24"/>
          <w:lang w:val="sr-Latn-CS"/>
        </w:rPr>
        <w:lastRenderedPageBreak/>
        <w:t>Pored navedenog, ponuđač je dužan dostaviti i:</w:t>
      </w:r>
    </w:p>
    <w:p w:rsidR="009248F4" w:rsidRPr="002A0BEE" w:rsidRDefault="009248F4" w:rsidP="0055031D">
      <w:pPr>
        <w:pStyle w:val="Default"/>
        <w:numPr>
          <w:ilvl w:val="0"/>
          <w:numId w:val="20"/>
        </w:numPr>
        <w:spacing w:line="276" w:lineRule="auto"/>
        <w:rPr>
          <w:rFonts w:asciiTheme="majorHAnsi" w:eastAsiaTheme="minorEastAsia" w:hAnsiTheme="majorHAnsi" w:cstheme="minorHAnsi"/>
          <w:lang w:val="sr-Latn-CS" w:eastAsia="en-US"/>
        </w:rPr>
      </w:pPr>
      <w:r w:rsidRPr="002A0BEE">
        <w:rPr>
          <w:rFonts w:asciiTheme="majorHAnsi" w:eastAsiaTheme="minorEastAsia" w:hAnsiTheme="majorHAnsi" w:cstheme="minorHAnsi"/>
          <w:lang w:val="sr-Latn-CS" w:eastAsia="en-US"/>
        </w:rPr>
        <w:t>Bankarsku garanciju ponude u skladu sa Uputstvom za podnošenje ponuda i</w:t>
      </w:r>
    </w:p>
    <w:p w:rsidR="009248F4" w:rsidRPr="002A0BEE" w:rsidRDefault="009248F4" w:rsidP="0055031D">
      <w:pPr>
        <w:pStyle w:val="Default"/>
        <w:numPr>
          <w:ilvl w:val="0"/>
          <w:numId w:val="20"/>
        </w:numPr>
        <w:spacing w:after="200" w:line="276" w:lineRule="auto"/>
        <w:rPr>
          <w:rFonts w:asciiTheme="majorHAnsi" w:eastAsiaTheme="minorEastAsia" w:hAnsiTheme="majorHAnsi" w:cstheme="minorHAnsi"/>
          <w:lang w:val="sr-Latn-CS" w:eastAsia="en-US"/>
        </w:rPr>
      </w:pPr>
      <w:r w:rsidRPr="002A0BEE">
        <w:rPr>
          <w:rFonts w:asciiTheme="majorHAnsi" w:eastAsiaTheme="minorEastAsia" w:hAnsiTheme="majorHAnsi" w:cstheme="minorHAnsi"/>
          <w:lang w:val="sr-Latn-CS" w:eastAsia="en-US"/>
        </w:rPr>
        <w:t>Popunjeni Obrazac iz Uputstva za podnošenje ponuda.</w:t>
      </w:r>
    </w:p>
    <w:p w:rsidR="009248F4" w:rsidRPr="002A0BEE" w:rsidRDefault="00940407" w:rsidP="00392D99">
      <w:pPr>
        <w:pStyle w:val="Default"/>
        <w:spacing w:after="200" w:line="276" w:lineRule="auto"/>
        <w:jc w:val="both"/>
        <w:rPr>
          <w:rFonts w:asciiTheme="majorHAnsi" w:hAnsiTheme="majorHAnsi" w:cstheme="minorHAnsi"/>
          <w:lang w:val="sr-Latn-CS"/>
        </w:rPr>
      </w:pPr>
      <w:r w:rsidRPr="002A0BEE">
        <w:rPr>
          <w:rFonts w:asciiTheme="majorHAnsi" w:eastAsiaTheme="minorEastAsia" w:hAnsiTheme="majorHAnsi" w:cstheme="minorHAnsi"/>
          <w:lang w:val="sr-Latn-CS" w:eastAsia="en-US"/>
        </w:rPr>
        <w:t>U slučaju da P</w:t>
      </w:r>
      <w:r w:rsidR="009248F4" w:rsidRPr="002A0BEE">
        <w:rPr>
          <w:rFonts w:asciiTheme="majorHAnsi" w:eastAsiaTheme="minorEastAsia" w:hAnsiTheme="majorHAnsi" w:cstheme="minorHAnsi"/>
          <w:lang w:val="sr-Latn-CS" w:eastAsia="en-US"/>
        </w:rPr>
        <w:t xml:space="preserve">onuđač nastupa kao konzorcijum kompanija, onda je za svakog člana konzorcijuma neophodno dostaviti dokaze kojima se potvrđuje da je član </w:t>
      </w:r>
      <w:r w:rsidR="009248F4" w:rsidRPr="002A0BEE">
        <w:rPr>
          <w:rFonts w:asciiTheme="majorHAnsi" w:hAnsiTheme="majorHAnsi" w:cstheme="minorHAnsi"/>
          <w:lang w:val="sr-Latn-CS"/>
        </w:rPr>
        <w:t>podoban da učestvuje u postupku javog nadmetanja, kao i ugovor o konzorcijumu, koji izričito predviđa:</w:t>
      </w:r>
    </w:p>
    <w:p w:rsidR="009248F4" w:rsidRPr="002A0BEE" w:rsidRDefault="009248F4" w:rsidP="0055031D">
      <w:pPr>
        <w:pStyle w:val="Default"/>
        <w:numPr>
          <w:ilvl w:val="0"/>
          <w:numId w:val="21"/>
        </w:numPr>
        <w:spacing w:line="276" w:lineRule="auto"/>
        <w:rPr>
          <w:rFonts w:asciiTheme="majorHAnsi" w:hAnsiTheme="majorHAnsi" w:cstheme="minorHAnsi"/>
          <w:lang w:val="sr-Latn-CS"/>
        </w:rPr>
      </w:pPr>
      <w:r w:rsidRPr="002A0BEE">
        <w:rPr>
          <w:rFonts w:asciiTheme="majorHAnsi" w:hAnsiTheme="majorHAnsi" w:cstheme="minorHAnsi"/>
          <w:lang w:val="sr-Latn-CS"/>
        </w:rPr>
        <w:t xml:space="preserve">da će svi članovi konzorcijuma biti solidarno odgovorni za izvršenje Ugovora u skladu sa njegovim uslovima; </w:t>
      </w:r>
    </w:p>
    <w:p w:rsidR="009248F4" w:rsidRPr="002A0BEE" w:rsidRDefault="009248F4" w:rsidP="0055031D">
      <w:pPr>
        <w:pStyle w:val="Default"/>
        <w:numPr>
          <w:ilvl w:val="0"/>
          <w:numId w:val="21"/>
        </w:numPr>
        <w:spacing w:line="276" w:lineRule="auto"/>
        <w:rPr>
          <w:rFonts w:asciiTheme="majorHAnsi" w:hAnsiTheme="majorHAnsi" w:cstheme="minorHAnsi"/>
          <w:lang w:val="sr-Latn-CS"/>
        </w:rPr>
      </w:pPr>
      <w:r w:rsidRPr="002A0BEE">
        <w:rPr>
          <w:rFonts w:asciiTheme="majorHAnsi" w:hAnsiTheme="majorHAnsi" w:cstheme="minorHAnsi"/>
          <w:lang w:val="sr-Latn-CS"/>
        </w:rPr>
        <w:t>procenat učešća u konzorcijumu;</w:t>
      </w:r>
    </w:p>
    <w:p w:rsidR="009248F4" w:rsidRPr="002A0BEE" w:rsidRDefault="009248F4" w:rsidP="0055031D">
      <w:pPr>
        <w:pStyle w:val="Default"/>
        <w:numPr>
          <w:ilvl w:val="0"/>
          <w:numId w:val="21"/>
        </w:numPr>
        <w:spacing w:line="276" w:lineRule="auto"/>
        <w:rPr>
          <w:rFonts w:asciiTheme="majorHAnsi" w:hAnsiTheme="majorHAnsi" w:cstheme="minorHAnsi"/>
          <w:lang w:val="sr-Latn-CS"/>
        </w:rPr>
      </w:pPr>
      <w:r w:rsidRPr="002A0BEE">
        <w:rPr>
          <w:rFonts w:asciiTheme="majorHAnsi" w:hAnsiTheme="majorHAnsi" w:cstheme="minorHAnsi"/>
          <w:lang w:val="sr-Latn-CS"/>
        </w:rPr>
        <w:t xml:space="preserve">obaveze svakog člana konzorcijuma i </w:t>
      </w:r>
    </w:p>
    <w:p w:rsidR="009248F4" w:rsidRPr="002A0BEE" w:rsidRDefault="009248F4" w:rsidP="0055031D">
      <w:pPr>
        <w:pStyle w:val="Default"/>
        <w:numPr>
          <w:ilvl w:val="0"/>
          <w:numId w:val="21"/>
        </w:numPr>
        <w:spacing w:line="276" w:lineRule="auto"/>
        <w:rPr>
          <w:rFonts w:asciiTheme="majorHAnsi" w:hAnsiTheme="majorHAnsi" w:cstheme="minorHAnsi"/>
          <w:lang w:val="sr-Latn-CS"/>
        </w:rPr>
      </w:pPr>
      <w:r w:rsidRPr="002A0BEE">
        <w:rPr>
          <w:rFonts w:asciiTheme="majorHAnsi" w:hAnsiTheme="majorHAnsi" w:cstheme="minorHAnsi"/>
          <w:lang w:val="sr-Latn-CS"/>
        </w:rPr>
        <w:t xml:space="preserve">ovlašćenje jednog člana koji će istupati u ime konzorcijuma. </w:t>
      </w:r>
    </w:p>
    <w:p w:rsidR="009248F4" w:rsidRPr="002A0BEE" w:rsidRDefault="009248F4" w:rsidP="002E447F">
      <w:pPr>
        <w:pStyle w:val="Default"/>
        <w:spacing w:line="276" w:lineRule="auto"/>
        <w:rPr>
          <w:rFonts w:asciiTheme="majorHAnsi" w:hAnsiTheme="majorHAnsi" w:cstheme="minorHAnsi"/>
          <w:lang w:val="sr-Latn-CS"/>
        </w:rPr>
      </w:pPr>
    </w:p>
    <w:p w:rsidR="009248F4" w:rsidRPr="002A0BEE" w:rsidRDefault="009248F4" w:rsidP="00392D99">
      <w:pPr>
        <w:pStyle w:val="Default"/>
        <w:spacing w:after="200" w:line="276" w:lineRule="auto"/>
        <w:jc w:val="both"/>
        <w:rPr>
          <w:rFonts w:asciiTheme="majorHAnsi" w:hAnsiTheme="majorHAnsi" w:cstheme="minorHAnsi"/>
          <w:lang w:val="sr-Latn-CS"/>
        </w:rPr>
      </w:pPr>
      <w:r w:rsidRPr="002A0BEE">
        <w:rPr>
          <w:rFonts w:asciiTheme="majorHAnsi" w:hAnsiTheme="majorHAnsi" w:cstheme="minorHAnsi"/>
          <w:lang w:val="sr-Latn-CS"/>
        </w:rPr>
        <w:t>Vlasnička struktura u koncesionom društvu mora odgovarati procentu učešća članova u konzorcijumu utvđenom prilikom podnošenja ponude i ista se ne može mijenjati bez saglasnosti koncedenta.</w:t>
      </w:r>
    </w:p>
    <w:p w:rsidR="009248F4" w:rsidRPr="002A0BEE" w:rsidRDefault="009248F4" w:rsidP="002E447F">
      <w:pPr>
        <w:pStyle w:val="Default"/>
        <w:spacing w:line="276" w:lineRule="auto"/>
        <w:jc w:val="both"/>
        <w:rPr>
          <w:rFonts w:asciiTheme="majorHAnsi" w:hAnsiTheme="majorHAnsi" w:cstheme="minorHAnsi"/>
          <w:lang w:val="sr-Latn-CS"/>
        </w:rPr>
      </w:pPr>
    </w:p>
    <w:p w:rsidR="009248F4" w:rsidRPr="002A0BEE" w:rsidRDefault="009248F4" w:rsidP="0055031D">
      <w:pPr>
        <w:pStyle w:val="Heading2"/>
        <w:numPr>
          <w:ilvl w:val="1"/>
          <w:numId w:val="47"/>
        </w:numPr>
        <w:tabs>
          <w:tab w:val="left" w:pos="990"/>
        </w:tabs>
        <w:spacing w:before="0" w:after="200"/>
        <w:rPr>
          <w:rFonts w:cstheme="minorHAnsi"/>
          <w:szCs w:val="24"/>
          <w:lang w:val="sr-Latn-CS"/>
        </w:rPr>
      </w:pPr>
      <w:bookmarkStart w:id="206" w:name="_Toc390549929"/>
      <w:bookmarkStart w:id="207" w:name="_Toc401959459"/>
      <w:bookmarkStart w:id="208" w:name="_Toc401959552"/>
      <w:bookmarkStart w:id="209" w:name="_Toc435529040"/>
      <w:bookmarkStart w:id="210" w:name="_Toc436124917"/>
      <w:r w:rsidRPr="002A0BEE">
        <w:rPr>
          <w:rFonts w:cstheme="minorHAnsi"/>
          <w:szCs w:val="24"/>
          <w:lang w:val="sr-Latn-CS"/>
        </w:rPr>
        <w:t>Javni oglas</w:t>
      </w:r>
      <w:bookmarkEnd w:id="206"/>
      <w:bookmarkEnd w:id="207"/>
      <w:bookmarkEnd w:id="208"/>
      <w:bookmarkEnd w:id="209"/>
      <w:bookmarkEnd w:id="210"/>
    </w:p>
    <w:p w:rsidR="009248F4" w:rsidRPr="002A0BEE" w:rsidRDefault="009248F4" w:rsidP="00392D99">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rsidR="00940407" w:rsidRPr="002A0BEE" w:rsidRDefault="009248F4" w:rsidP="00392D99">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Javni oglas za dodjelu predmetne koncesije sadrži sljedeće:</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opis predmeta koncesije, granice istražno-eksploatacionog prostora;</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osnovne elemente Koncesionog akta;</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adresu i rok za dostavljanje ponude na Javni oglas (rok se određuje prema periodu za pripremu ponude i teče od dana objavljivanja javnog oglasa u „Službenom listu Crne Gore“ i ne može biti kraći od 30 dana);</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kriterijume za učešće na Javnom oglasu i mogućnost podnošenja zajedničke ponude;</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pravila prema kojima se Javni oglas sprovodi;</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način dostavljanja ponude;</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moguće vrijeme posjete lokacije na kojoj će se vršiti koncesiona djelatnost;</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datum, vrijeme i mjesto otvaranja prispjelih ponuda na Javni oglas;</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rok u kome se ponuda na Javni oglas može povući;</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lastRenderedPageBreak/>
        <w:t>određivanje vrste ponude (tehničke i finansijske ili samo finansijske ponude);</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podatke o visini i obliku depozita i garancije i perioda za koji se traže;</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uslove, rok i način vraćanja depozita i garancije;</w:t>
      </w:r>
    </w:p>
    <w:p w:rsidR="009248F4" w:rsidRPr="002A0BEE" w:rsidRDefault="009248F4" w:rsidP="0055031D">
      <w:pPr>
        <w:numPr>
          <w:ilvl w:val="0"/>
          <w:numId w:val="22"/>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ime lica zaduženog za davanje relevantnih informacija u postupku Javnog oglasa;</w:t>
      </w:r>
    </w:p>
    <w:p w:rsidR="009248F4" w:rsidRPr="002A0BEE" w:rsidRDefault="009248F4" w:rsidP="0055031D">
      <w:pPr>
        <w:numPr>
          <w:ilvl w:val="0"/>
          <w:numId w:val="22"/>
        </w:numPr>
        <w:spacing w:after="0"/>
        <w:jc w:val="both"/>
        <w:rPr>
          <w:rFonts w:asciiTheme="majorHAnsi" w:hAnsiTheme="majorHAnsi" w:cstheme="minorHAnsi"/>
          <w:szCs w:val="24"/>
          <w:lang w:val="sr-Latn-CS"/>
        </w:rPr>
      </w:pPr>
      <w:r w:rsidRPr="002A0BEE">
        <w:rPr>
          <w:rFonts w:asciiTheme="majorHAnsi" w:eastAsia="Times New Roman" w:hAnsiTheme="majorHAnsi" w:cstheme="minorHAnsi"/>
          <w:szCs w:val="24"/>
          <w:lang w:val="sr-Latn-CS"/>
        </w:rPr>
        <w:t>mjesto na kojem se može i vrijeme u kojem se može preuzeti Koncesioni akt i Tenderska dokumentacija, kao i cijena Tenderske dokumentacije u visini troškova njene izrade.</w:t>
      </w:r>
    </w:p>
    <w:p w:rsidR="009248F4" w:rsidRPr="002A0BEE" w:rsidRDefault="009248F4" w:rsidP="002E447F">
      <w:pPr>
        <w:spacing w:after="0"/>
        <w:ind w:left="720"/>
        <w:jc w:val="both"/>
        <w:rPr>
          <w:rFonts w:asciiTheme="majorHAnsi" w:eastAsia="Times New Roman" w:hAnsiTheme="majorHAnsi" w:cstheme="minorHAnsi"/>
          <w:szCs w:val="24"/>
          <w:lang w:val="sr-Latn-CS"/>
        </w:rPr>
      </w:pPr>
    </w:p>
    <w:p w:rsidR="009248F4" w:rsidRPr="002A0BEE" w:rsidRDefault="009248F4" w:rsidP="00392D99">
      <w:pPr>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211" w:name="_Toc390549930"/>
    </w:p>
    <w:p w:rsidR="009248F4" w:rsidRPr="002A0BEE" w:rsidRDefault="00574678" w:rsidP="0055031D">
      <w:pPr>
        <w:pStyle w:val="Heading2"/>
        <w:numPr>
          <w:ilvl w:val="1"/>
          <w:numId w:val="47"/>
        </w:numPr>
        <w:tabs>
          <w:tab w:val="left" w:pos="990"/>
        </w:tabs>
        <w:spacing w:before="0" w:after="200"/>
        <w:rPr>
          <w:rFonts w:cstheme="minorHAnsi"/>
          <w:szCs w:val="24"/>
          <w:lang w:val="sr-Latn-CS"/>
        </w:rPr>
      </w:pPr>
      <w:bookmarkStart w:id="212" w:name="_Toc401959460"/>
      <w:bookmarkStart w:id="213" w:name="_Toc401959553"/>
      <w:bookmarkStart w:id="214" w:name="_Toc435529041"/>
      <w:bookmarkStart w:id="215" w:name="_Toc436124918"/>
      <w:r w:rsidRPr="002A0BEE">
        <w:rPr>
          <w:rFonts w:cstheme="minorHAnsi"/>
          <w:szCs w:val="24"/>
          <w:lang w:val="sr-Latn-CS"/>
        </w:rPr>
        <w:t>Ugovor o koncesiji</w:t>
      </w:r>
      <w:bookmarkEnd w:id="211"/>
      <w:bookmarkEnd w:id="212"/>
      <w:bookmarkEnd w:id="213"/>
      <w:bookmarkEnd w:id="214"/>
      <w:bookmarkEnd w:id="215"/>
    </w:p>
    <w:p w:rsidR="009248F4" w:rsidRPr="002A0BEE" w:rsidRDefault="009248F4" w:rsidP="00392D99">
      <w:pPr>
        <w:jc w:val="both"/>
        <w:rPr>
          <w:rFonts w:asciiTheme="majorHAnsi" w:hAnsiTheme="majorHAnsi" w:cstheme="minorHAnsi"/>
          <w:szCs w:val="24"/>
          <w:lang w:val="sr-Latn-CS"/>
        </w:rPr>
      </w:pPr>
      <w:r w:rsidRPr="002A0BEE">
        <w:rPr>
          <w:rFonts w:asciiTheme="majorHAnsi" w:eastAsia="Times New Roman" w:hAnsiTheme="majorHAnsi" w:cstheme="minorHAnsi"/>
          <w:szCs w:val="24"/>
          <w:lang w:val="sr-Latn-CS"/>
        </w:rPr>
        <w:t>Sastavni dio Tenederske dokumentacije je i Nacrt</w:t>
      </w:r>
      <w:r w:rsidRPr="002A0BEE">
        <w:rPr>
          <w:rFonts w:asciiTheme="majorHAnsi" w:hAnsiTheme="majorHAnsi" w:cstheme="minorHAnsi"/>
          <w:szCs w:val="24"/>
          <w:lang w:val="sr-Latn-CS"/>
        </w:rPr>
        <w:t xml:space="preserve"> ugovora o koncesiji, koji je dat kao Prilog Koncesionog akta.</w:t>
      </w:r>
    </w:p>
    <w:p w:rsidR="009248F4" w:rsidRPr="002A0BEE" w:rsidRDefault="00574678" w:rsidP="0055031D">
      <w:pPr>
        <w:pStyle w:val="Heading2"/>
        <w:numPr>
          <w:ilvl w:val="1"/>
          <w:numId w:val="47"/>
        </w:numPr>
        <w:tabs>
          <w:tab w:val="left" w:pos="990"/>
        </w:tabs>
        <w:spacing w:before="0" w:after="200"/>
        <w:rPr>
          <w:rFonts w:cstheme="minorHAnsi"/>
          <w:szCs w:val="24"/>
          <w:lang w:val="sr-Latn-CS"/>
        </w:rPr>
      </w:pPr>
      <w:bookmarkStart w:id="216" w:name="_Toc390549931"/>
      <w:bookmarkStart w:id="217" w:name="_Toc401959461"/>
      <w:bookmarkStart w:id="218" w:name="_Toc401959554"/>
      <w:bookmarkStart w:id="219" w:name="_Toc435529042"/>
      <w:bookmarkStart w:id="220" w:name="_Toc436124919"/>
      <w:r w:rsidRPr="002A0BEE">
        <w:rPr>
          <w:rFonts w:cstheme="minorHAnsi"/>
          <w:szCs w:val="24"/>
          <w:lang w:val="sr-Latn-CS"/>
        </w:rPr>
        <w:t>Uputstvo za podnošenje ponuda</w:t>
      </w:r>
      <w:bookmarkEnd w:id="216"/>
      <w:bookmarkEnd w:id="217"/>
      <w:bookmarkEnd w:id="218"/>
      <w:bookmarkEnd w:id="219"/>
      <w:bookmarkEnd w:id="220"/>
    </w:p>
    <w:p w:rsidR="009248F4" w:rsidRPr="002A0BEE" w:rsidRDefault="009248F4" w:rsidP="00392D99">
      <w:pPr>
        <w:jc w:val="both"/>
        <w:rPr>
          <w:rFonts w:asciiTheme="majorHAnsi" w:hAnsiTheme="majorHAnsi" w:cstheme="minorHAnsi"/>
          <w:szCs w:val="24"/>
          <w:lang w:val="sr-Latn-CS"/>
        </w:rPr>
      </w:pPr>
      <w:r w:rsidRPr="002A0BEE">
        <w:rPr>
          <w:rFonts w:asciiTheme="majorHAnsi" w:eastAsia="Times New Roman" w:hAnsiTheme="majorHAnsi" w:cstheme="minorHAnsi"/>
          <w:szCs w:val="24"/>
          <w:lang w:val="sr-Latn-CS"/>
        </w:rPr>
        <w:t xml:space="preserve">Sastavni dio Tenederske dokumentacije je i </w:t>
      </w:r>
      <w:r w:rsidRPr="002A0BEE">
        <w:rPr>
          <w:rFonts w:asciiTheme="majorHAnsi" w:hAnsiTheme="majorHAnsi" w:cstheme="minorHAnsi"/>
          <w:szCs w:val="24"/>
          <w:lang w:val="sr-Latn-CS"/>
        </w:rPr>
        <w:t>Uputstvo za podnošenje ponuda, koji je dato kao Prilog Koncesionog akta</w:t>
      </w:r>
      <w:r w:rsidR="005E0617" w:rsidRPr="002A0BEE">
        <w:rPr>
          <w:rFonts w:asciiTheme="majorHAnsi" w:hAnsiTheme="majorHAnsi" w:cstheme="minorHAnsi"/>
          <w:szCs w:val="24"/>
          <w:lang w:val="sr-Latn-CS"/>
        </w:rPr>
        <w:t>.</w:t>
      </w:r>
    </w:p>
    <w:p w:rsidR="00392D99" w:rsidRPr="002A0BEE" w:rsidRDefault="00392D99" w:rsidP="00392D99">
      <w:pPr>
        <w:jc w:val="both"/>
        <w:rPr>
          <w:rFonts w:asciiTheme="majorHAnsi" w:hAnsiTheme="majorHAnsi" w:cstheme="minorHAnsi"/>
          <w:szCs w:val="24"/>
          <w:lang w:val="sr-Latn-CS"/>
        </w:rPr>
      </w:pPr>
    </w:p>
    <w:p w:rsidR="009248F4" w:rsidRPr="002A0BEE" w:rsidRDefault="009248F4" w:rsidP="0055031D">
      <w:pPr>
        <w:pStyle w:val="Heading1"/>
        <w:numPr>
          <w:ilvl w:val="0"/>
          <w:numId w:val="47"/>
        </w:numPr>
        <w:spacing w:before="0" w:after="200"/>
        <w:rPr>
          <w:rFonts w:asciiTheme="majorHAnsi" w:hAnsiTheme="majorHAnsi" w:cstheme="minorHAnsi"/>
          <w:sz w:val="24"/>
          <w:szCs w:val="24"/>
          <w:lang w:val="sr-Latn-CS"/>
        </w:rPr>
      </w:pPr>
      <w:bookmarkStart w:id="221" w:name="_Toc390549932"/>
      <w:bookmarkStart w:id="222" w:name="_Toc401959462"/>
      <w:bookmarkStart w:id="223" w:name="_Toc401959555"/>
      <w:bookmarkStart w:id="224" w:name="_Toc435529043"/>
      <w:bookmarkStart w:id="225" w:name="_Toc436124920"/>
      <w:r w:rsidRPr="002A0BEE">
        <w:rPr>
          <w:rFonts w:asciiTheme="majorHAnsi" w:hAnsiTheme="majorHAnsi" w:cstheme="minorHAnsi"/>
          <w:sz w:val="24"/>
          <w:szCs w:val="24"/>
          <w:lang w:val="sr-Latn-CS"/>
        </w:rPr>
        <w:t>Spisak propisa koji se primjenjuje u postupku davanja koncesije i u vršenju koncesione djelatnosti</w:t>
      </w:r>
      <w:bookmarkEnd w:id="221"/>
      <w:bookmarkEnd w:id="222"/>
      <w:bookmarkEnd w:id="223"/>
      <w:bookmarkEnd w:id="224"/>
      <w:bookmarkEnd w:id="225"/>
    </w:p>
    <w:p w:rsidR="009248F4" w:rsidRPr="002A0BEE" w:rsidRDefault="009248F4" w:rsidP="003F7D68">
      <w:pPr>
        <w:jc w:val="both"/>
        <w:rPr>
          <w:rFonts w:asciiTheme="majorHAnsi" w:eastAsia="Times New Roman" w:hAnsiTheme="majorHAnsi" w:cstheme="minorHAnsi"/>
          <w:szCs w:val="24"/>
          <w:lang w:val="sr-Latn-CS"/>
        </w:rPr>
      </w:pPr>
      <w:r w:rsidRPr="002A0BEE">
        <w:rPr>
          <w:rFonts w:asciiTheme="majorHAnsi" w:hAnsiTheme="majorHAnsi" w:cstheme="minorHAnsi"/>
          <w:szCs w:val="24"/>
          <w:lang w:val="sr-Latn-CS"/>
        </w:rPr>
        <w:t>P</w:t>
      </w:r>
      <w:r w:rsidRPr="002A0BEE">
        <w:rPr>
          <w:rFonts w:asciiTheme="majorHAnsi" w:eastAsia="Times New Roman" w:hAnsiTheme="majorHAnsi" w:cstheme="minorHAnsi"/>
          <w:szCs w:val="24"/>
          <w:lang w:val="sr-Latn-CS"/>
        </w:rPr>
        <w:t>ropisi koji se primijenjuju u postupku</w:t>
      </w:r>
      <w:r w:rsidRPr="002A0BEE">
        <w:rPr>
          <w:rFonts w:asciiTheme="majorHAnsi" w:hAnsiTheme="majorHAnsi" w:cstheme="minorHAnsi"/>
          <w:szCs w:val="24"/>
          <w:lang w:val="sr-Latn-CS"/>
        </w:rPr>
        <w:t xml:space="preserve"> davanja koncesije i</w:t>
      </w:r>
      <w:r w:rsidRPr="002A0BEE">
        <w:rPr>
          <w:rFonts w:asciiTheme="majorHAnsi" w:eastAsia="Times New Roman" w:hAnsiTheme="majorHAnsi" w:cstheme="minorHAnsi"/>
          <w:szCs w:val="24"/>
          <w:lang w:val="sr-Latn-CS"/>
        </w:rPr>
        <w:t xml:space="preserve"> vršenja koncesione djelatnosti: </w:t>
      </w:r>
    </w:p>
    <w:p w:rsidR="009248F4" w:rsidRPr="002A0BEE" w:rsidRDefault="009248F4" w:rsidP="0055031D">
      <w:pPr>
        <w:numPr>
          <w:ilvl w:val="0"/>
          <w:numId w:val="24"/>
        </w:numPr>
        <w:spacing w:after="0"/>
        <w:jc w:val="both"/>
        <w:rPr>
          <w:rFonts w:asciiTheme="majorHAnsi" w:hAnsiTheme="majorHAnsi" w:cstheme="minorHAnsi"/>
          <w:szCs w:val="24"/>
          <w:lang w:val="sr-Latn-CS"/>
        </w:rPr>
      </w:pPr>
      <w:r w:rsidRPr="002A0BEE">
        <w:rPr>
          <w:rFonts w:asciiTheme="majorHAnsi" w:eastAsia="Times New Roman" w:hAnsiTheme="majorHAnsi" w:cstheme="minorHAnsi"/>
          <w:szCs w:val="24"/>
          <w:lang w:val="sr-Latn-CS"/>
        </w:rPr>
        <w:t>Zakon o koncesijama (“Sl. list CG”, br. 08/09);</w:t>
      </w:r>
    </w:p>
    <w:p w:rsidR="009248F4" w:rsidRPr="002A0BEE" w:rsidRDefault="009248F4" w:rsidP="0055031D">
      <w:pPr>
        <w:numPr>
          <w:ilvl w:val="0"/>
          <w:numId w:val="24"/>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 xml:space="preserve">Uredba </w:t>
      </w:r>
      <w:r w:rsidRPr="002A0BEE">
        <w:rPr>
          <w:rFonts w:asciiTheme="majorHAnsi" w:hAnsiTheme="majorHAnsi" w:cstheme="minorHAnsi"/>
          <w:color w:val="333333"/>
          <w:szCs w:val="24"/>
          <w:lang w:val="sr-Latn-CS"/>
        </w:rPr>
        <w:t xml:space="preserve">o bližem načinu sprovođenja postupka javnog nadmetanja u otvorenom </w:t>
      </w:r>
      <w:r w:rsidR="00075FE3" w:rsidRPr="002A0BEE">
        <w:rPr>
          <w:rFonts w:asciiTheme="majorHAnsi" w:hAnsiTheme="majorHAnsi" w:cstheme="minorHAnsi"/>
          <w:color w:val="333333"/>
          <w:szCs w:val="24"/>
          <w:lang w:val="sr-Latn-CS"/>
        </w:rPr>
        <w:t>i</w:t>
      </w:r>
      <w:r w:rsidRPr="002A0BEE">
        <w:rPr>
          <w:rFonts w:asciiTheme="majorHAnsi" w:hAnsiTheme="majorHAnsi" w:cstheme="minorHAnsi"/>
          <w:szCs w:val="24"/>
          <w:lang w:val="sr-Latn-CS"/>
        </w:rPr>
        <w:t xml:space="preserve"> </w:t>
      </w:r>
      <w:r w:rsidRPr="002A0BEE">
        <w:rPr>
          <w:rFonts w:asciiTheme="majorHAnsi" w:hAnsiTheme="majorHAnsi" w:cstheme="minorHAnsi"/>
          <w:color w:val="333333"/>
          <w:szCs w:val="24"/>
          <w:lang w:val="sr-Latn-CS"/>
        </w:rPr>
        <w:t xml:space="preserve">dvostepenom postupku davanja koncesije </w:t>
      </w:r>
      <w:r w:rsidRPr="002A0BEE">
        <w:rPr>
          <w:rFonts w:asciiTheme="majorHAnsi" w:eastAsia="Times New Roman" w:hAnsiTheme="majorHAnsi" w:cstheme="minorHAnsi"/>
          <w:szCs w:val="24"/>
          <w:lang w:val="sr-Latn-CS"/>
        </w:rPr>
        <w:t>(“Sl. list CG”, br. 08/09);</w:t>
      </w:r>
    </w:p>
    <w:p w:rsidR="009248F4" w:rsidRPr="002A0BEE" w:rsidRDefault="009248F4" w:rsidP="0055031D">
      <w:pPr>
        <w:numPr>
          <w:ilvl w:val="0"/>
          <w:numId w:val="24"/>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Zakon o rudarstvu („Sl. list CG“, br. 65/08, 74/10 i 40/11);</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Zakon o geološkim istraživanjima (‘’Sl. list RCG’’, br. 28/93, 27/94, 42/94 i 26/07 i „Sl. list CG“, br. 28/11);</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Zakon o zaštiti na radu (‘’Sl. list RCG’’, br. 79/04 i „Sl. list CG“, br. 26/10 i 40/11)</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Zakon o procjeni uticaja na životnu sredinu („Sl. list RCG“, br. 80/05 i „Sl. list CG“, br. 40/10, 73/10, 40/11 i 27/13);</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Zakon o uređenju prostora i izgradnji objekata (“Sl. list CG”, br. 51/08, 40/10, 34/11, 40/11, 47/11, 35/13 i 39/13);</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Zakon o državnoj imovini (“Sl. list CG”, br. 21/09 i 40/11);</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lastRenderedPageBreak/>
        <w:t>Uredba o kriterijumima i načinu obračuna iznosa minimalne koncesione naknade za ustupanje prava na istraživanje i eksploataciju mineralnih sirovina („Sl. list CG“, br. 37/11);</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Uredba o visini sredstava za sanaciju i rekultivaciju prostora na kojem se izvode rudarski radovi, način obračunavanja, plaćanja i korišćenja tih sredstava („Sl. list CG“, br. 51/11);</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Pravlnik o klasifikaciji, kategorizaciji i proračunu rezervi čvrstih mineralnih sirovina i vođenju evidencije o njima („Sl. list SFRJ“, br. 53/79);</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Pravilnik o rudarskim mjerenjima („Sl. list RCG“, br. 26/94);</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Pravilnik o izradi projekata geoloških istraživanja („Sl. list SRCG“, br. 09/85 i 16/85);</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Pravilnik o sadržini rudarskih projekata („Sl. list CG“, br. 74/09);</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Pravilnik o tehničkim normativima za površinsku eksploataciju ležišta mineralnih sirovina („Sl. list SFRJ“, br. 62/87);</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Pravilnik o tehničkim normativima za površinsku eksploataciju arhitektonsko-građevinskog (ukrasnog) kamena, tehničko-građevinskog kamena, šljunka i pijeska i preradu arhitektonsko-građevinskog (ukrasnog) kamena („Sl. list SFRJ“, br. 11/86);</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 xml:space="preserve">Uputstvo o izradi godišnjeg tehničkog izvještaja i godišnjeg finansijskog izvještaja o poslovanju koncesionara koji imaju pravo na eksploataciju mineralnih sirovina („Sl. list RCG“, br. 10/95) i </w:t>
      </w:r>
    </w:p>
    <w:p w:rsidR="009248F4" w:rsidRPr="002A0BEE" w:rsidRDefault="009248F4" w:rsidP="0055031D">
      <w:pPr>
        <w:numPr>
          <w:ilvl w:val="0"/>
          <w:numId w:val="23"/>
        </w:numPr>
        <w:spacing w:after="0"/>
        <w:jc w:val="both"/>
        <w:rPr>
          <w:rFonts w:asciiTheme="majorHAnsi" w:eastAsia="Times New Roman" w:hAnsiTheme="majorHAnsi" w:cstheme="minorHAnsi"/>
          <w:szCs w:val="24"/>
          <w:lang w:val="sr-Latn-CS"/>
        </w:rPr>
      </w:pPr>
      <w:r w:rsidRPr="002A0BEE">
        <w:rPr>
          <w:rFonts w:asciiTheme="majorHAnsi" w:eastAsia="Times New Roman" w:hAnsiTheme="majorHAnsi" w:cstheme="minorHAnsi"/>
          <w:szCs w:val="24"/>
          <w:lang w:val="sr-Latn-CS"/>
        </w:rPr>
        <w:t>ostali propisi.</w:t>
      </w:r>
    </w:p>
    <w:p w:rsidR="009248F4" w:rsidRPr="002A0BEE" w:rsidRDefault="009248F4" w:rsidP="002E447F">
      <w:pPr>
        <w:spacing w:after="0"/>
        <w:jc w:val="both"/>
        <w:rPr>
          <w:rFonts w:asciiTheme="majorHAnsi" w:eastAsia="Times New Roman" w:hAnsiTheme="majorHAnsi" w:cstheme="minorHAnsi"/>
          <w:szCs w:val="24"/>
          <w:lang w:val="sr-Latn-CS"/>
        </w:rPr>
      </w:pPr>
    </w:p>
    <w:p w:rsidR="009248F4" w:rsidRPr="002A0BEE" w:rsidRDefault="009248F4" w:rsidP="002E447F">
      <w:pPr>
        <w:spacing w:after="0"/>
        <w:jc w:val="both"/>
        <w:rPr>
          <w:rFonts w:asciiTheme="majorHAnsi" w:eastAsia="Times New Roman" w:hAnsiTheme="majorHAnsi" w:cstheme="minorHAnsi"/>
          <w:szCs w:val="24"/>
          <w:lang w:val="sr-Latn-CS"/>
        </w:rPr>
      </w:pPr>
    </w:p>
    <w:p w:rsidR="009248F4" w:rsidRPr="002A0BEE" w:rsidRDefault="009248F4" w:rsidP="002E447F">
      <w:pPr>
        <w:spacing w:after="0"/>
        <w:jc w:val="both"/>
        <w:rPr>
          <w:rFonts w:asciiTheme="majorHAnsi" w:hAnsiTheme="majorHAnsi" w:cstheme="minorHAnsi"/>
          <w:szCs w:val="24"/>
          <w:lang w:val="sr-Latn-CS"/>
        </w:rPr>
      </w:pPr>
      <w:r w:rsidRPr="002A0BEE">
        <w:rPr>
          <w:rFonts w:asciiTheme="majorHAnsi" w:hAnsiTheme="majorHAnsi" w:cstheme="minorHAnsi"/>
          <w:b/>
          <w:bCs/>
          <w:szCs w:val="24"/>
          <w:lang w:val="sr-Latn-CS"/>
        </w:rPr>
        <w:t>P R I L O Z I</w:t>
      </w:r>
    </w:p>
    <w:p w:rsidR="009248F4" w:rsidRPr="002A0BEE" w:rsidRDefault="009248F4" w:rsidP="002E447F">
      <w:pPr>
        <w:spacing w:after="0"/>
        <w:jc w:val="both"/>
        <w:rPr>
          <w:rFonts w:asciiTheme="majorHAnsi" w:hAnsiTheme="majorHAnsi" w:cstheme="minorHAnsi"/>
          <w:b/>
          <w:bCs/>
          <w:szCs w:val="24"/>
          <w:lang w:val="sr-Latn-CS"/>
        </w:rPr>
      </w:pPr>
    </w:p>
    <w:p w:rsidR="009248F4" w:rsidRPr="002A0BEE" w:rsidRDefault="00940407" w:rsidP="0055031D">
      <w:pPr>
        <w:pStyle w:val="ListParagraph"/>
        <w:numPr>
          <w:ilvl w:val="1"/>
          <w:numId w:val="32"/>
        </w:numPr>
        <w:tabs>
          <w:tab w:val="clear" w:pos="1440"/>
          <w:tab w:val="num" w:pos="1170"/>
        </w:tabs>
        <w:spacing w:after="0"/>
        <w:ind w:left="360"/>
        <w:jc w:val="both"/>
        <w:rPr>
          <w:rFonts w:asciiTheme="majorHAnsi" w:hAnsiTheme="majorHAnsi" w:cstheme="minorHAnsi"/>
          <w:bCs/>
          <w:szCs w:val="24"/>
          <w:lang w:val="sr-Latn-CS"/>
        </w:rPr>
      </w:pPr>
      <w:r w:rsidRPr="002A0BEE">
        <w:rPr>
          <w:rFonts w:asciiTheme="majorHAnsi" w:hAnsiTheme="majorHAnsi" w:cstheme="minorHAnsi"/>
          <w:bCs/>
          <w:szCs w:val="24"/>
          <w:lang w:val="sr-Latn-CS"/>
        </w:rPr>
        <w:t>Položaj ležišta</w:t>
      </w:r>
      <w:r w:rsidR="009248F4" w:rsidRPr="002A0BEE">
        <w:rPr>
          <w:rFonts w:asciiTheme="majorHAnsi" w:hAnsiTheme="majorHAnsi" w:cstheme="minorHAnsi"/>
          <w:bCs/>
          <w:szCs w:val="24"/>
          <w:lang w:val="sr-Latn-CS"/>
        </w:rPr>
        <w:t xml:space="preserve"> arhitektonsko-građevinskog (ukrasnog) kamena </w:t>
      </w:r>
      <w:r w:rsidRPr="002A0BEE">
        <w:rPr>
          <w:rFonts w:asciiTheme="majorHAnsi" w:hAnsiTheme="majorHAnsi" w:cstheme="minorHAnsi"/>
          <w:bCs/>
          <w:szCs w:val="24"/>
          <w:lang w:val="sr-Latn-CS"/>
        </w:rPr>
        <w:t>i tehničko-građevinskog kamena</w:t>
      </w:r>
      <w:r w:rsidR="00776ECD" w:rsidRPr="002A0BEE">
        <w:rPr>
          <w:rFonts w:asciiTheme="majorHAnsi" w:hAnsiTheme="majorHAnsi" w:cstheme="minorHAnsi"/>
          <w:bCs/>
          <w:szCs w:val="24"/>
          <w:lang w:val="sr-Latn-CS"/>
        </w:rPr>
        <w:t>„Visočica“</w:t>
      </w:r>
      <w:r w:rsidR="009248F4" w:rsidRPr="002A0BEE">
        <w:rPr>
          <w:rFonts w:asciiTheme="majorHAnsi" w:hAnsiTheme="majorHAnsi" w:cstheme="minorHAnsi"/>
          <w:bCs/>
          <w:szCs w:val="24"/>
          <w:lang w:val="sr-Latn-CS"/>
        </w:rPr>
        <w:t>, 1:25 000;</w:t>
      </w:r>
    </w:p>
    <w:p w:rsidR="009248F4" w:rsidRPr="002A0BEE" w:rsidRDefault="009248F4" w:rsidP="002E447F">
      <w:pPr>
        <w:spacing w:after="0"/>
        <w:jc w:val="both"/>
        <w:rPr>
          <w:rFonts w:asciiTheme="majorHAnsi" w:hAnsiTheme="majorHAnsi" w:cstheme="minorHAnsi"/>
          <w:bCs/>
          <w:szCs w:val="24"/>
          <w:lang w:val="sr-Latn-CS"/>
        </w:rPr>
      </w:pPr>
    </w:p>
    <w:p w:rsidR="009248F4" w:rsidRPr="002A0BEE" w:rsidRDefault="009248F4" w:rsidP="0055031D">
      <w:pPr>
        <w:pStyle w:val="ListParagraph"/>
        <w:numPr>
          <w:ilvl w:val="1"/>
          <w:numId w:val="32"/>
        </w:numPr>
        <w:tabs>
          <w:tab w:val="clear" w:pos="1440"/>
        </w:tabs>
        <w:spacing w:after="0"/>
        <w:ind w:left="360"/>
        <w:jc w:val="both"/>
        <w:rPr>
          <w:rFonts w:asciiTheme="majorHAnsi" w:hAnsiTheme="majorHAnsi" w:cstheme="minorHAnsi"/>
          <w:bCs/>
          <w:szCs w:val="24"/>
          <w:lang w:val="sr-Latn-CS"/>
        </w:rPr>
      </w:pPr>
      <w:r w:rsidRPr="002A0BEE">
        <w:rPr>
          <w:rFonts w:asciiTheme="majorHAnsi" w:hAnsiTheme="majorHAnsi" w:cstheme="minorHAnsi"/>
          <w:bCs/>
          <w:szCs w:val="24"/>
          <w:lang w:val="sr-Latn-CS"/>
        </w:rPr>
        <w:t>Izvještaj Komisije za ocjenu inicijative za pokretanje postupka davanja konce</w:t>
      </w:r>
      <w:r w:rsidR="00940407" w:rsidRPr="002A0BEE">
        <w:rPr>
          <w:rFonts w:asciiTheme="majorHAnsi" w:hAnsiTheme="majorHAnsi" w:cstheme="minorHAnsi"/>
          <w:bCs/>
          <w:szCs w:val="24"/>
          <w:lang w:val="sr-Latn-CS"/>
        </w:rPr>
        <w:t xml:space="preserve">sije za </w:t>
      </w:r>
      <w:r w:rsidRPr="002A0BEE">
        <w:rPr>
          <w:rFonts w:asciiTheme="majorHAnsi" w:hAnsiTheme="majorHAnsi" w:cstheme="minorHAnsi"/>
          <w:bCs/>
          <w:szCs w:val="24"/>
          <w:lang w:val="sr-Latn-CS"/>
        </w:rPr>
        <w:t xml:space="preserve">eksploataciju mineralne sirovine arhitektonsko-građevinskog </w:t>
      </w:r>
      <w:r w:rsidR="00940407" w:rsidRPr="002A0BEE">
        <w:rPr>
          <w:rFonts w:asciiTheme="majorHAnsi" w:hAnsiTheme="majorHAnsi" w:cstheme="minorHAnsi"/>
          <w:bCs/>
          <w:szCs w:val="24"/>
          <w:lang w:val="sr-Latn-CS"/>
        </w:rPr>
        <w:t xml:space="preserve">(ukrasnog) kamena i tehničko-građevinskog na ležištu </w:t>
      </w:r>
      <w:r w:rsidRPr="002A0BEE">
        <w:rPr>
          <w:rFonts w:asciiTheme="majorHAnsi" w:hAnsiTheme="majorHAnsi" w:cstheme="minorHAnsi"/>
          <w:bCs/>
          <w:szCs w:val="24"/>
          <w:lang w:val="sr-Latn-CS"/>
        </w:rPr>
        <w:t>kam</w:t>
      </w:r>
      <w:r w:rsidR="00940407" w:rsidRPr="002A0BEE">
        <w:rPr>
          <w:rFonts w:asciiTheme="majorHAnsi" w:hAnsiTheme="majorHAnsi" w:cstheme="minorHAnsi"/>
          <w:bCs/>
          <w:szCs w:val="24"/>
          <w:lang w:val="sr-Latn-CS"/>
        </w:rPr>
        <w:t>ena na lokalitetu „Visočica“, opština Danilovgrad</w:t>
      </w:r>
      <w:r w:rsidRPr="002A0BEE">
        <w:rPr>
          <w:rFonts w:asciiTheme="majorHAnsi" w:hAnsiTheme="majorHAnsi" w:cstheme="minorHAnsi"/>
          <w:bCs/>
          <w:szCs w:val="24"/>
          <w:lang w:val="sr-Latn-CS"/>
        </w:rPr>
        <w:t>, arhiviran u Minista</w:t>
      </w:r>
      <w:r w:rsidR="00E063F8" w:rsidRPr="002A0BEE">
        <w:rPr>
          <w:rFonts w:asciiTheme="majorHAnsi" w:hAnsiTheme="majorHAnsi" w:cstheme="minorHAnsi"/>
          <w:bCs/>
          <w:szCs w:val="24"/>
          <w:lang w:val="sr-Latn-CS"/>
        </w:rPr>
        <w:t>rstvu ekonomije pod brojem: 07-349/3 od 19.02.2015</w:t>
      </w:r>
      <w:r w:rsidRPr="002A0BEE">
        <w:rPr>
          <w:rFonts w:asciiTheme="majorHAnsi" w:hAnsiTheme="majorHAnsi" w:cstheme="minorHAnsi"/>
          <w:bCs/>
          <w:szCs w:val="24"/>
          <w:lang w:val="sr-Latn-CS"/>
        </w:rPr>
        <w:t>. godine;</w:t>
      </w:r>
    </w:p>
    <w:p w:rsidR="009248F4" w:rsidRPr="002A0BEE" w:rsidRDefault="009248F4" w:rsidP="002E447F">
      <w:pPr>
        <w:spacing w:after="0"/>
        <w:jc w:val="both"/>
        <w:rPr>
          <w:rFonts w:asciiTheme="majorHAnsi" w:hAnsiTheme="majorHAnsi" w:cstheme="minorHAnsi"/>
          <w:bCs/>
          <w:szCs w:val="24"/>
          <w:lang w:val="sr-Latn-CS"/>
        </w:rPr>
      </w:pPr>
    </w:p>
    <w:p w:rsidR="009248F4" w:rsidRPr="002A0BEE" w:rsidRDefault="009248F4" w:rsidP="0055031D">
      <w:pPr>
        <w:pStyle w:val="ListParagraph"/>
        <w:numPr>
          <w:ilvl w:val="1"/>
          <w:numId w:val="32"/>
        </w:numPr>
        <w:tabs>
          <w:tab w:val="clear" w:pos="1440"/>
          <w:tab w:val="num" w:pos="450"/>
        </w:tabs>
        <w:spacing w:after="0"/>
        <w:ind w:left="360"/>
        <w:jc w:val="both"/>
        <w:rPr>
          <w:rFonts w:asciiTheme="majorHAnsi" w:hAnsiTheme="majorHAnsi" w:cstheme="minorHAnsi"/>
          <w:bCs/>
          <w:szCs w:val="24"/>
          <w:lang w:val="sr-Latn-CS"/>
        </w:rPr>
      </w:pPr>
      <w:r w:rsidRPr="002A0BEE">
        <w:rPr>
          <w:rFonts w:asciiTheme="majorHAnsi" w:hAnsiTheme="majorHAnsi" w:cstheme="minorHAnsi"/>
          <w:bCs/>
          <w:szCs w:val="24"/>
          <w:lang w:val="sr-Latn-CS"/>
        </w:rPr>
        <w:t>List nepo</w:t>
      </w:r>
      <w:r w:rsidR="00E063F8" w:rsidRPr="002A0BEE">
        <w:rPr>
          <w:rFonts w:asciiTheme="majorHAnsi" w:hAnsiTheme="majorHAnsi" w:cstheme="minorHAnsi"/>
          <w:bCs/>
          <w:szCs w:val="24"/>
          <w:lang w:val="sr-Latn-CS"/>
        </w:rPr>
        <w:t>kretn</w:t>
      </w:r>
      <w:r w:rsidR="00620BA1" w:rsidRPr="002A0BEE">
        <w:rPr>
          <w:rFonts w:asciiTheme="majorHAnsi" w:hAnsiTheme="majorHAnsi" w:cstheme="minorHAnsi"/>
          <w:bCs/>
          <w:szCs w:val="24"/>
          <w:lang w:val="sr-Latn-CS"/>
        </w:rPr>
        <w:t>osti br.27-prepis, KO Podglavice, izdat od Uprave za nekretnine, Područna jedinica Danilovgrad, br.120-956-3328/2014 od 22.12.2014. godine;</w:t>
      </w:r>
    </w:p>
    <w:p w:rsidR="009248F4" w:rsidRPr="002A0BEE" w:rsidRDefault="009248F4" w:rsidP="002E447F">
      <w:pPr>
        <w:spacing w:after="0"/>
        <w:jc w:val="both"/>
        <w:rPr>
          <w:rFonts w:asciiTheme="majorHAnsi" w:hAnsiTheme="majorHAnsi" w:cstheme="minorHAnsi"/>
          <w:bCs/>
          <w:szCs w:val="24"/>
          <w:lang w:val="sr-Latn-CS"/>
        </w:rPr>
      </w:pPr>
    </w:p>
    <w:p w:rsidR="009248F4" w:rsidRPr="002A0BEE" w:rsidRDefault="009248F4" w:rsidP="0055031D">
      <w:pPr>
        <w:pStyle w:val="ListParagraph"/>
        <w:numPr>
          <w:ilvl w:val="1"/>
          <w:numId w:val="32"/>
        </w:numPr>
        <w:tabs>
          <w:tab w:val="clear" w:pos="1440"/>
          <w:tab w:val="num" w:pos="900"/>
        </w:tabs>
        <w:spacing w:after="0"/>
        <w:ind w:left="360"/>
        <w:jc w:val="both"/>
        <w:rPr>
          <w:rFonts w:asciiTheme="majorHAnsi" w:hAnsiTheme="majorHAnsi" w:cstheme="minorHAnsi"/>
          <w:szCs w:val="24"/>
          <w:lang w:val="sr-Latn-CS"/>
        </w:rPr>
      </w:pPr>
      <w:r w:rsidRPr="002A0BEE">
        <w:rPr>
          <w:rFonts w:asciiTheme="majorHAnsi" w:hAnsiTheme="majorHAnsi" w:cstheme="minorHAnsi"/>
          <w:szCs w:val="24"/>
          <w:lang w:val="sr-Latn-CS"/>
        </w:rPr>
        <w:t>Izvod iz Prostorno-urbanist</w:t>
      </w:r>
      <w:r w:rsidR="00E063F8" w:rsidRPr="002A0BEE">
        <w:rPr>
          <w:rFonts w:asciiTheme="majorHAnsi" w:hAnsiTheme="majorHAnsi" w:cstheme="minorHAnsi"/>
          <w:szCs w:val="24"/>
          <w:lang w:val="sr-Latn-CS"/>
        </w:rPr>
        <w:t xml:space="preserve">ičkog plana </w:t>
      </w:r>
      <w:r w:rsidR="00075FE3" w:rsidRPr="002A0BEE">
        <w:rPr>
          <w:rFonts w:asciiTheme="majorHAnsi" w:hAnsiTheme="majorHAnsi" w:cstheme="minorHAnsi"/>
          <w:szCs w:val="24"/>
          <w:lang w:val="sr-Latn-CS"/>
        </w:rPr>
        <w:t>o</w:t>
      </w:r>
      <w:r w:rsidR="00E063F8" w:rsidRPr="002A0BEE">
        <w:rPr>
          <w:rFonts w:asciiTheme="majorHAnsi" w:hAnsiTheme="majorHAnsi" w:cstheme="minorHAnsi"/>
          <w:szCs w:val="24"/>
          <w:lang w:val="sr-Latn-CS"/>
        </w:rPr>
        <w:t>pštine Danilovgrad</w:t>
      </w:r>
      <w:r w:rsidRPr="002A0BEE">
        <w:rPr>
          <w:rFonts w:asciiTheme="majorHAnsi" w:hAnsiTheme="majorHAnsi" w:cstheme="minorHAnsi"/>
          <w:szCs w:val="24"/>
          <w:lang w:val="sr-Latn-CS"/>
        </w:rPr>
        <w:t xml:space="preserve"> („Sl.list CG“-opštinski propisi, br.12/14) u kojem je de</w:t>
      </w:r>
      <w:r w:rsidR="00E063F8" w:rsidRPr="002A0BEE">
        <w:rPr>
          <w:rFonts w:asciiTheme="majorHAnsi" w:hAnsiTheme="majorHAnsi" w:cstheme="minorHAnsi"/>
          <w:szCs w:val="24"/>
          <w:lang w:val="sr-Latn-CS"/>
        </w:rPr>
        <w:t xml:space="preserve">finisana namjena prostora „Visočica“ – za eksploataciju </w:t>
      </w:r>
      <w:r w:rsidR="00776ECD" w:rsidRPr="002A0BEE">
        <w:rPr>
          <w:rFonts w:asciiTheme="majorHAnsi" w:hAnsiTheme="majorHAnsi" w:cstheme="minorHAnsi"/>
          <w:szCs w:val="24"/>
          <w:lang w:val="sr-Latn-CS"/>
        </w:rPr>
        <w:lastRenderedPageBreak/>
        <w:t xml:space="preserve">mineralne sirovine (akt Sekretarijata za urbanizam, komunalno-stambene poslove i zaštitu životne sredine </w:t>
      </w:r>
      <w:r w:rsidR="00075FE3" w:rsidRPr="002A0BEE">
        <w:rPr>
          <w:rFonts w:asciiTheme="majorHAnsi" w:hAnsiTheme="majorHAnsi" w:cstheme="minorHAnsi"/>
          <w:szCs w:val="24"/>
          <w:lang w:val="sr-Latn-CS"/>
        </w:rPr>
        <w:t>o</w:t>
      </w:r>
      <w:r w:rsidR="00776ECD" w:rsidRPr="002A0BEE">
        <w:rPr>
          <w:rFonts w:asciiTheme="majorHAnsi" w:hAnsiTheme="majorHAnsi" w:cstheme="minorHAnsi"/>
          <w:szCs w:val="24"/>
          <w:lang w:val="sr-Latn-CS"/>
        </w:rPr>
        <w:t>pštine Danilovgrad, br.03-032-5-921/2 od 08.12.2014. godine);</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55031D">
      <w:pPr>
        <w:pStyle w:val="ListParagraph"/>
        <w:numPr>
          <w:ilvl w:val="1"/>
          <w:numId w:val="32"/>
        </w:numPr>
        <w:tabs>
          <w:tab w:val="clear" w:pos="1440"/>
          <w:tab w:val="num" w:pos="1080"/>
        </w:tabs>
        <w:spacing w:after="0"/>
        <w:ind w:left="360"/>
        <w:jc w:val="both"/>
        <w:rPr>
          <w:rFonts w:asciiTheme="majorHAnsi" w:hAnsiTheme="majorHAnsi" w:cstheme="minorHAnsi"/>
          <w:szCs w:val="24"/>
          <w:lang w:val="sr-Latn-CS"/>
        </w:rPr>
      </w:pPr>
      <w:r w:rsidRPr="002A0BEE">
        <w:rPr>
          <w:rFonts w:asciiTheme="majorHAnsi" w:hAnsiTheme="majorHAnsi" w:cstheme="minorHAnsi"/>
          <w:szCs w:val="24"/>
          <w:lang w:val="sr-Latn-CS"/>
        </w:rPr>
        <w:t>Predlog Ugovora o koncesiji sa formama bankarskih garancija</w:t>
      </w:r>
      <w:r w:rsidR="00776ECD" w:rsidRPr="002A0BEE">
        <w:rPr>
          <w:rFonts w:asciiTheme="majorHAnsi" w:hAnsiTheme="majorHAnsi" w:cstheme="minorHAnsi"/>
          <w:szCs w:val="24"/>
          <w:lang w:val="sr-Latn-CS"/>
        </w:rPr>
        <w:t>;</w:t>
      </w:r>
    </w:p>
    <w:p w:rsidR="009248F4" w:rsidRPr="002A0BEE" w:rsidRDefault="009248F4" w:rsidP="002E447F">
      <w:pPr>
        <w:spacing w:after="0"/>
        <w:jc w:val="both"/>
        <w:rPr>
          <w:rFonts w:asciiTheme="majorHAnsi" w:hAnsiTheme="majorHAnsi" w:cstheme="minorHAnsi"/>
          <w:szCs w:val="24"/>
          <w:lang w:val="sr-Latn-CS"/>
        </w:rPr>
      </w:pPr>
    </w:p>
    <w:p w:rsidR="009248F4" w:rsidRPr="002A0BEE" w:rsidRDefault="009248F4" w:rsidP="0055031D">
      <w:pPr>
        <w:pStyle w:val="ListParagraph"/>
        <w:numPr>
          <w:ilvl w:val="1"/>
          <w:numId w:val="32"/>
        </w:numPr>
        <w:tabs>
          <w:tab w:val="clear" w:pos="1440"/>
          <w:tab w:val="num" w:pos="1170"/>
        </w:tabs>
        <w:spacing w:after="0"/>
        <w:ind w:left="360"/>
        <w:jc w:val="both"/>
        <w:rPr>
          <w:rFonts w:asciiTheme="majorHAnsi" w:hAnsiTheme="majorHAnsi" w:cstheme="minorHAnsi"/>
          <w:szCs w:val="24"/>
          <w:lang w:val="sr-Latn-CS"/>
        </w:rPr>
      </w:pPr>
      <w:r w:rsidRPr="002A0BEE">
        <w:rPr>
          <w:rFonts w:asciiTheme="majorHAnsi" w:hAnsiTheme="majorHAnsi" w:cstheme="minorHAnsi"/>
          <w:szCs w:val="24"/>
          <w:lang w:val="sr-Latn-CS"/>
        </w:rPr>
        <w:t>Uputstvo za podnošenje ponuda</w:t>
      </w:r>
    </w:p>
    <w:p w:rsidR="009248F4" w:rsidRPr="002A0BEE" w:rsidRDefault="009248F4" w:rsidP="0055031D">
      <w:pPr>
        <w:pStyle w:val="ListParagraph"/>
        <w:numPr>
          <w:ilvl w:val="0"/>
          <w:numId w:val="25"/>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Obrazac A – Podaci o ponuđaču</w:t>
      </w:r>
    </w:p>
    <w:p w:rsidR="009248F4" w:rsidRPr="002A0BEE" w:rsidRDefault="009248F4" w:rsidP="0055031D">
      <w:pPr>
        <w:pStyle w:val="ListParagraph"/>
        <w:numPr>
          <w:ilvl w:val="0"/>
          <w:numId w:val="25"/>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Obrazac B – Tehnička ponuda</w:t>
      </w:r>
    </w:p>
    <w:p w:rsidR="009248F4" w:rsidRPr="002A0BEE" w:rsidRDefault="009248F4" w:rsidP="0055031D">
      <w:pPr>
        <w:pStyle w:val="ListParagraph"/>
        <w:numPr>
          <w:ilvl w:val="0"/>
          <w:numId w:val="25"/>
        </w:numPr>
        <w:spacing w:after="0"/>
        <w:jc w:val="both"/>
        <w:rPr>
          <w:rFonts w:asciiTheme="majorHAnsi" w:hAnsiTheme="majorHAnsi" w:cstheme="minorHAnsi"/>
          <w:szCs w:val="24"/>
          <w:lang w:val="sr-Latn-CS"/>
        </w:rPr>
      </w:pPr>
      <w:r w:rsidRPr="002A0BEE">
        <w:rPr>
          <w:rFonts w:asciiTheme="majorHAnsi" w:hAnsiTheme="majorHAnsi" w:cstheme="minorHAnsi"/>
          <w:szCs w:val="24"/>
          <w:lang w:val="sr-Latn-CS"/>
        </w:rPr>
        <w:t>Obrazac C –Forma bankarske garancije za Ponudu</w:t>
      </w:r>
    </w:p>
    <w:p w:rsidR="00137E5F" w:rsidRPr="002A0BEE" w:rsidRDefault="00137E5F" w:rsidP="002E447F">
      <w:pPr>
        <w:rPr>
          <w:rFonts w:asciiTheme="majorHAnsi" w:hAnsiTheme="majorHAnsi" w:cstheme="minorHAnsi"/>
          <w:szCs w:val="24"/>
          <w:lang w:val="sr-Latn-CS"/>
        </w:rPr>
      </w:pPr>
    </w:p>
    <w:sectPr w:rsidR="00137E5F" w:rsidRPr="002A0BEE" w:rsidSect="00574D84">
      <w:headerReference w:type="even" r:id="rId9"/>
      <w:headerReference w:type="default" r:id="rId10"/>
      <w:footerReference w:type="default" r:id="rId11"/>
      <w:headerReference w:type="first" r:id="rId12"/>
      <w:pgSz w:w="12240" w:h="15840"/>
      <w:pgMar w:top="1440" w:right="1440" w:bottom="1440" w:left="1440" w:header="720" w:footer="86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31D" w:rsidRDefault="0055031D" w:rsidP="006D21B7">
      <w:pPr>
        <w:spacing w:after="0" w:line="240" w:lineRule="auto"/>
      </w:pPr>
      <w:r>
        <w:separator/>
      </w:r>
    </w:p>
  </w:endnote>
  <w:endnote w:type="continuationSeparator" w:id="0">
    <w:p w:rsidR="0055031D" w:rsidRDefault="0055031D" w:rsidP="006D21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BEE" w:rsidRDefault="002A0BEE">
    <w:pPr>
      <w:pStyle w:val="Footer"/>
      <w:pBdr>
        <w:top w:val="thinThickSmallGap" w:sz="24" w:space="1" w:color="622423" w:themeColor="accent2" w:themeShade="7F"/>
      </w:pBdr>
      <w:rPr>
        <w:rFonts w:asciiTheme="majorHAnsi" w:hAnsiTheme="majorHAnsi"/>
      </w:rPr>
    </w:pPr>
    <w:r w:rsidRPr="00574D84">
      <w:rPr>
        <w:rFonts w:asciiTheme="majorHAnsi" w:hAnsiTheme="majorHAnsi" w:cstheme="minorHAnsi"/>
        <w:sz w:val="20"/>
        <w:szCs w:val="20"/>
      </w:rPr>
      <w:t>Koncesioni akt o mineralnim sirovinama arhitektonsko-građevinskog (ukrasnog) kamena i tehničko-građevinskog kamena ležišta “Visočica”, opština Danilovgrad</w:t>
    </w:r>
    <w:r w:rsidRPr="00574D84">
      <w:rPr>
        <w:rFonts w:asciiTheme="majorHAnsi" w:hAnsiTheme="majorHAnsi" w:cstheme="minorHAnsi"/>
        <w:sz w:val="20"/>
        <w:szCs w:val="20"/>
      </w:rPr>
      <w:ptab w:relativeTo="margin" w:alignment="right" w:leader="none"/>
    </w:r>
    <w:r w:rsidRPr="00574D84">
      <w:rPr>
        <w:rFonts w:asciiTheme="majorHAnsi" w:hAnsiTheme="majorHAnsi" w:cstheme="minorHAnsi"/>
        <w:sz w:val="20"/>
        <w:szCs w:val="20"/>
      </w:rPr>
      <w:t>Page</w:t>
    </w:r>
    <w:r>
      <w:rPr>
        <w:rFonts w:asciiTheme="majorHAnsi" w:hAnsiTheme="majorHAnsi"/>
      </w:rPr>
      <w:t xml:space="preserve"> </w:t>
    </w:r>
    <w:fldSimple w:instr=" PAGE   \* MERGEFORMAT ">
      <w:r w:rsidR="0021277B" w:rsidRPr="0021277B">
        <w:rPr>
          <w:rFonts w:asciiTheme="majorHAnsi" w:hAnsiTheme="majorHAnsi"/>
          <w:noProof/>
        </w:rPr>
        <w:t>29</w:t>
      </w:r>
    </w:fldSimple>
  </w:p>
  <w:p w:rsidR="002A0BEE" w:rsidRDefault="002A0B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31D" w:rsidRDefault="0055031D" w:rsidP="006D21B7">
      <w:pPr>
        <w:spacing w:after="0" w:line="240" w:lineRule="auto"/>
      </w:pPr>
      <w:r>
        <w:separator/>
      </w:r>
    </w:p>
  </w:footnote>
  <w:footnote w:type="continuationSeparator" w:id="0">
    <w:p w:rsidR="0055031D" w:rsidRDefault="0055031D" w:rsidP="006D21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2BB" w:rsidRDefault="008B7E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4218" o:spid="_x0000_s7170" type="#_x0000_t136" style="position:absolute;margin-left:0;margin-top:0;width:471.3pt;height:188.5pt;rotation:315;z-index:-251654144;mso-position-horizontal:center;mso-position-horizontal-relative:margin;mso-position-vertical:center;mso-position-vertical-relative:margin" o:allowincell="f" fillcolor="silver" stroked="f">
          <v:fill opacity=".5"/>
          <v:textpath style="font-family:&quot;Cambria&quot;;font-size:1pt" string="Nacr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2BB" w:rsidRDefault="008B7E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4219" o:spid="_x0000_s7171" type="#_x0000_t136" style="position:absolute;margin-left:0;margin-top:0;width:471.3pt;height:188.5pt;rotation:315;z-index:-251652096;mso-position-horizontal:center;mso-position-horizontal-relative:margin;mso-position-vertical:center;mso-position-vertical-relative:margin" o:allowincell="f" fillcolor="silver" stroked="f">
          <v:fill opacity=".5"/>
          <v:textpath style="font-family:&quot;Cambria&quot;;font-size:1pt" string="Nacr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2BB" w:rsidRDefault="008B7E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4217" o:spid="_x0000_s7169" type="#_x0000_t136" style="position:absolute;margin-left:0;margin-top:0;width:471.3pt;height:188.5pt;rotation:315;z-index:-251656192;mso-position-horizontal:center;mso-position-horizontal-relative:margin;mso-position-vertical:center;mso-position-vertical-relative:margin" o:allowincell="f" fillcolor="silver" stroked="f">
          <v:fill opacity=".5"/>
          <v:textpath style="font-family:&quot;Cambria&quot;;font-size:1pt" string="Nacr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ABC"/>
    <w:multiLevelType w:val="multilevel"/>
    <w:tmpl w:val="67D6E8FE"/>
    <w:lvl w:ilvl="0">
      <w:start w:val="1"/>
      <w:numFmt w:val="decimal"/>
      <w:pStyle w:val="Level1"/>
      <w:lvlText w:val="%1"/>
      <w:lvlJc w:val="left"/>
      <w:pPr>
        <w:tabs>
          <w:tab w:val="num" w:pos="860"/>
        </w:tabs>
        <w:ind w:left="860" w:hanging="680"/>
      </w:pPr>
      <w:rPr>
        <w:rFonts w:hint="default"/>
        <w:b/>
        <w:i w:val="0"/>
        <w:sz w:val="22"/>
      </w:rPr>
    </w:lvl>
    <w:lvl w:ilvl="1">
      <w:start w:val="1"/>
      <w:numFmt w:val="none"/>
      <w:pStyle w:val="Level2"/>
      <w:lvlText w:val="3.4"/>
      <w:lvlJc w:val="left"/>
      <w:pPr>
        <w:tabs>
          <w:tab w:val="num" w:pos="680"/>
        </w:tabs>
        <w:ind w:left="680" w:hanging="680"/>
      </w:pPr>
      <w:rPr>
        <w:rFonts w:hint="default"/>
        <w:b/>
        <w:i w:val="0"/>
        <w:sz w:val="21"/>
      </w:rPr>
    </w:lvl>
    <w:lvl w:ilvl="2">
      <w:start w:val="1"/>
      <w:numFmt w:val="decimal"/>
      <w:pStyle w:val="Level3"/>
      <w:lvlText w:val="%1.%2.%3"/>
      <w:lvlJc w:val="left"/>
      <w:pPr>
        <w:tabs>
          <w:tab w:val="num" w:pos="1401"/>
        </w:tabs>
        <w:ind w:left="1401" w:hanging="681"/>
      </w:pPr>
      <w:rPr>
        <w:rFonts w:hint="default"/>
        <w:b/>
        <w:i w:val="0"/>
        <w:sz w:val="17"/>
      </w:rPr>
    </w:lvl>
    <w:lvl w:ilvl="3">
      <w:start w:val="1"/>
      <w:numFmt w:val="decimal"/>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
    <w:nsid w:val="0AD96A2C"/>
    <w:multiLevelType w:val="hybridMultilevel"/>
    <w:tmpl w:val="CF3E0D9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AED4A05"/>
    <w:multiLevelType w:val="hybridMultilevel"/>
    <w:tmpl w:val="EB4EA45E"/>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E6D56"/>
    <w:multiLevelType w:val="hybridMultilevel"/>
    <w:tmpl w:val="3AD20114"/>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42AE4"/>
    <w:multiLevelType w:val="hybridMultilevel"/>
    <w:tmpl w:val="92240D1C"/>
    <w:lvl w:ilvl="0" w:tplc="04090001">
      <w:start w:val="1"/>
      <w:numFmt w:val="bullet"/>
      <w:lvlText w:val=""/>
      <w:lvlJc w:val="left"/>
      <w:pPr>
        <w:tabs>
          <w:tab w:val="num" w:pos="720"/>
        </w:tabs>
        <w:ind w:left="720" w:hanging="360"/>
      </w:pPr>
      <w:rPr>
        <w:rFonts w:ascii="Symbol" w:hAnsi="Symbol" w:cs="Symbol" w:hint="default"/>
      </w:rPr>
    </w:lvl>
    <w:lvl w:ilvl="1" w:tplc="C1ECFCE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D4A6729"/>
    <w:multiLevelType w:val="hybridMultilevel"/>
    <w:tmpl w:val="113217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E26A02"/>
    <w:multiLevelType w:val="hybridMultilevel"/>
    <w:tmpl w:val="2604E7B8"/>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22E67B35"/>
    <w:multiLevelType w:val="hybridMultilevel"/>
    <w:tmpl w:val="3FC2612C"/>
    <w:lvl w:ilvl="0" w:tplc="2E18DAEC">
      <w:start w:val="1"/>
      <w:numFmt w:val="decimal"/>
      <w:lvlText w:val="Korak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3E4623"/>
    <w:multiLevelType w:val="multilevel"/>
    <w:tmpl w:val="41B403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F81BD"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10544C0"/>
    <w:multiLevelType w:val="hybridMultilevel"/>
    <w:tmpl w:val="DFE4DE80"/>
    <w:lvl w:ilvl="0" w:tplc="3E583DD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
    <w:nsid w:val="33131241"/>
    <w:multiLevelType w:val="hybridMultilevel"/>
    <w:tmpl w:val="7AC8B4C2"/>
    <w:lvl w:ilvl="0" w:tplc="49FA5E38">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4100A96"/>
    <w:multiLevelType w:val="hybridMultilevel"/>
    <w:tmpl w:val="659A4CF0"/>
    <w:lvl w:ilvl="0" w:tplc="2A8A6C98">
      <w:start w:val="1"/>
      <w:numFmt w:val="lowerLetter"/>
      <w:lvlText w:val="%1)"/>
      <w:lvlJc w:val="left"/>
      <w:pPr>
        <w:ind w:left="720" w:hanging="360"/>
      </w:pPr>
      <w:rPr>
        <w:rFonts w:hint="default"/>
        <w:u w:val="none"/>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7">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092C1E"/>
    <w:multiLevelType w:val="multilevel"/>
    <w:tmpl w:val="0A0E38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B62752"/>
    <w:multiLevelType w:val="hybridMultilevel"/>
    <w:tmpl w:val="B8588B8E"/>
    <w:lvl w:ilvl="0" w:tplc="4CE8C6F8">
      <w:start w:val="2"/>
      <w:numFmt w:val="bullet"/>
      <w:lvlText w:val="-"/>
      <w:lvlJc w:val="left"/>
      <w:pPr>
        <w:ind w:left="720" w:hanging="360"/>
      </w:pPr>
      <w:rPr>
        <w:rFonts w:ascii="Times New Roman" w:eastAsia="Calibri" w:hAnsi="Times New Roman" w:cs="Times New Roman"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0">
    <w:nsid w:val="3E4A51AE"/>
    <w:multiLevelType w:val="hybridMultilevel"/>
    <w:tmpl w:val="5CB872FC"/>
    <w:lvl w:ilvl="0" w:tplc="49FA5E38">
      <w:start w:val="1"/>
      <w:numFmt w:val="bullet"/>
      <w:lvlText w:val=""/>
      <w:lvlJc w:val="left"/>
      <w:pPr>
        <w:ind w:left="720" w:hanging="360"/>
      </w:pPr>
      <w:rPr>
        <w:rFonts w:ascii="Symbol" w:hAnsi="Symbol" w:hint="default"/>
      </w:rPr>
    </w:lvl>
    <w:lvl w:ilvl="1" w:tplc="B5503B84">
      <w:start w:val="6"/>
      <w:numFmt w:val="bullet"/>
      <w:lvlText w:val="-"/>
      <w:lvlJc w:val="left"/>
      <w:pPr>
        <w:ind w:left="1305" w:hanging="225"/>
      </w:pPr>
      <w:rPr>
        <w:rFonts w:asciiTheme="minorHAnsi" w:eastAsiaTheme="minorEastAsia" w:hAnsiTheme="minorHAns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753426"/>
    <w:multiLevelType w:val="multilevel"/>
    <w:tmpl w:val="63D65D4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DF03C0B"/>
    <w:multiLevelType w:val="multilevel"/>
    <w:tmpl w:val="26F4C4E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E6D5EEA"/>
    <w:multiLevelType w:val="hybridMultilevel"/>
    <w:tmpl w:val="B99AF7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F44361E"/>
    <w:multiLevelType w:val="multilevel"/>
    <w:tmpl w:val="C3788B34"/>
    <w:lvl w:ilvl="0">
      <w:start w:val="9"/>
      <w:numFmt w:val="decimal"/>
      <w:lvlText w:val="%1."/>
      <w:lvlJc w:val="left"/>
      <w:pPr>
        <w:ind w:left="720" w:hanging="720"/>
      </w:pPr>
      <w:rPr>
        <w:rFonts w:hint="default"/>
      </w:rPr>
    </w:lvl>
    <w:lvl w:ilvl="1">
      <w:start w:val="5"/>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2"/>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25">
    <w:nsid w:val="4F6D5BFD"/>
    <w:multiLevelType w:val="hybridMultilevel"/>
    <w:tmpl w:val="50148958"/>
    <w:lvl w:ilvl="0" w:tplc="9DE87B50">
      <w:start w:val="1"/>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36C0D83"/>
    <w:multiLevelType w:val="hybridMultilevel"/>
    <w:tmpl w:val="180AB424"/>
    <w:lvl w:ilvl="0" w:tplc="0F0EDB6C">
      <w:start w:val="1"/>
      <w:numFmt w:val="bullet"/>
      <w:lvlText w:val=""/>
      <w:lvlJc w:val="left"/>
      <w:pPr>
        <w:ind w:left="1170" w:hanging="360"/>
      </w:pPr>
      <w:rPr>
        <w:rFonts w:ascii="Symbol" w:hAnsi="Symbol" w:hint="default"/>
      </w:rPr>
    </w:lvl>
    <w:lvl w:ilvl="1" w:tplc="0F0EDB6C">
      <w:start w:val="1"/>
      <w:numFmt w:val="bullet"/>
      <w:lvlText w:val=""/>
      <w:lvlJc w:val="left"/>
      <w:pPr>
        <w:ind w:left="1890" w:hanging="360"/>
      </w:pPr>
      <w:rPr>
        <w:rFonts w:ascii="Symbol" w:hAnsi="Symbo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nsid w:val="537B6C3F"/>
    <w:multiLevelType w:val="hybridMultilevel"/>
    <w:tmpl w:val="09543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6082E7A"/>
    <w:multiLevelType w:val="multilevel"/>
    <w:tmpl w:val="6464B824"/>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Theme="minorHAnsi" w:hAnsiTheme="minorHAnsi" w:cstheme="minorHAnsi" w:hint="default"/>
        <w:b/>
        <w:i w:val="0"/>
        <w:sz w:val="24"/>
        <w:szCs w:val="24"/>
      </w:rPr>
    </w:lvl>
    <w:lvl w:ilvl="2">
      <w:start w:val="1"/>
      <w:numFmt w:val="decimal"/>
      <w:lvlText w:val="%1.%2.%3."/>
      <w:lvlJc w:val="left"/>
      <w:pPr>
        <w:ind w:left="1944" w:hanging="504"/>
      </w:pPr>
      <w:rPr>
        <w:rFonts w:asciiTheme="minorHAnsi" w:hAnsiTheme="minorHAnsi" w:cstheme="minorHAnsi"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C13AF3"/>
    <w:multiLevelType w:val="multilevel"/>
    <w:tmpl w:val="E3D4D92C"/>
    <w:lvl w:ilvl="0">
      <w:start w:val="9"/>
      <w:numFmt w:val="decimal"/>
      <w:lvlText w:val="%1"/>
      <w:lvlJc w:val="left"/>
      <w:pPr>
        <w:ind w:left="432" w:hanging="432"/>
      </w:pPr>
      <w:rPr>
        <w:rFonts w:hint="default"/>
      </w:rPr>
    </w:lvl>
    <w:lvl w:ilvl="1">
      <w:start w:val="1"/>
      <w:numFmt w:val="decimal"/>
      <w:lvlText w:val="%1.%2"/>
      <w:lvlJc w:val="left"/>
      <w:pPr>
        <w:ind w:left="576" w:hanging="576"/>
      </w:pPr>
      <w:rPr>
        <w:rFonts w:asciiTheme="majorHAnsi" w:hAnsiTheme="majorHAnsi" w:cstheme="minorHAnsi" w:hint="default"/>
        <w:b/>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3">
    <w:nsid w:val="5EDA0E2E"/>
    <w:multiLevelType w:val="hybridMultilevel"/>
    <w:tmpl w:val="109A6B64"/>
    <w:lvl w:ilvl="0" w:tplc="04090001">
      <w:start w:val="1"/>
      <w:numFmt w:val="bullet"/>
      <w:lvlText w:val=""/>
      <w:lvlJc w:val="left"/>
      <w:pPr>
        <w:ind w:left="720" w:hanging="360"/>
      </w:pPr>
      <w:rPr>
        <w:rFonts w:ascii="Symbol" w:hAnsi="Symbol" w:hint="default"/>
      </w:rPr>
    </w:lvl>
    <w:lvl w:ilvl="1" w:tplc="353224D4">
      <w:start w:val="1"/>
      <w:numFmt w:val="decimal"/>
      <w:lvlText w:val="%2."/>
      <w:lvlJc w:val="left"/>
      <w:pPr>
        <w:tabs>
          <w:tab w:val="num" w:pos="1440"/>
        </w:tabs>
        <w:ind w:left="144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742130"/>
    <w:multiLevelType w:val="multilevel"/>
    <w:tmpl w:val="CAD6FED0"/>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346BD3"/>
    <w:multiLevelType w:val="multilevel"/>
    <w:tmpl w:val="FC4A3418"/>
    <w:lvl w:ilvl="0">
      <w:start w:val="1"/>
      <w:numFmt w:val="decimal"/>
      <w:pStyle w:val="Heading1"/>
      <w:lvlText w:val="%1"/>
      <w:lvlJc w:val="left"/>
      <w:pPr>
        <w:ind w:left="432" w:hanging="432"/>
      </w:pPr>
      <w:rPr>
        <w:rFonts w:ascii="Cambria" w:hAnsi="Cambria" w:cstheme="minorHAnsi" w:hint="default"/>
        <w:b/>
        <w:sz w:val="28"/>
        <w:szCs w:val="28"/>
      </w:rPr>
    </w:lvl>
    <w:lvl w:ilvl="1">
      <w:start w:val="1"/>
      <w:numFmt w:val="decimal"/>
      <w:pStyle w:val="Heading2"/>
      <w:lvlText w:val="%1.%2"/>
      <w:lvlJc w:val="left"/>
      <w:pPr>
        <w:ind w:left="576" w:hanging="576"/>
      </w:pPr>
      <w:rPr>
        <w:rFonts w:hint="default"/>
        <w:color w:val="auto"/>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nsid w:val="658F7346"/>
    <w:multiLevelType w:val="multilevel"/>
    <w:tmpl w:val="921013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AF05812"/>
    <w:multiLevelType w:val="multilevel"/>
    <w:tmpl w:val="2D380AD4"/>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CEE39BF"/>
    <w:multiLevelType w:val="hybridMultilevel"/>
    <w:tmpl w:val="2BA22BE6"/>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B874F0"/>
    <w:multiLevelType w:val="hybridMultilevel"/>
    <w:tmpl w:val="F6D4E4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6D1847"/>
    <w:multiLevelType w:val="multilevel"/>
    <w:tmpl w:val="A0F0C08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2D36859"/>
    <w:multiLevelType w:val="hybridMultilevel"/>
    <w:tmpl w:val="D22C68BA"/>
    <w:lvl w:ilvl="0" w:tplc="969C8A2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1F0AF6"/>
    <w:multiLevelType w:val="hybridMultilevel"/>
    <w:tmpl w:val="68F263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3D53FF"/>
    <w:multiLevelType w:val="hybridMultilevel"/>
    <w:tmpl w:val="2688B1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F911FB2"/>
    <w:multiLevelType w:val="hybridMultilevel"/>
    <w:tmpl w:val="308CB220"/>
    <w:lvl w:ilvl="0" w:tplc="CBA4C758">
      <w:numFmt w:val="bullet"/>
      <w:lvlText w:val="-"/>
      <w:lvlJc w:val="left"/>
      <w:pPr>
        <w:ind w:left="720" w:hanging="360"/>
      </w:pPr>
      <w:rPr>
        <w:rFonts w:ascii="Arial Narrow" w:eastAsia="Calibri" w:hAnsi="Arial Narrow" w:cs="Arial" w:hint="default"/>
      </w:rPr>
    </w:lvl>
    <w:lvl w:ilvl="1" w:tplc="230AAD38" w:tentative="1">
      <w:start w:val="1"/>
      <w:numFmt w:val="bullet"/>
      <w:lvlText w:val="o"/>
      <w:lvlJc w:val="left"/>
      <w:pPr>
        <w:ind w:left="1440" w:hanging="360"/>
      </w:pPr>
      <w:rPr>
        <w:rFonts w:ascii="Courier New" w:hAnsi="Courier New" w:cs="Courier New" w:hint="default"/>
      </w:rPr>
    </w:lvl>
    <w:lvl w:ilvl="2" w:tplc="BDAABEB8" w:tentative="1">
      <w:start w:val="1"/>
      <w:numFmt w:val="bullet"/>
      <w:lvlText w:val=""/>
      <w:lvlJc w:val="left"/>
      <w:pPr>
        <w:ind w:left="2160" w:hanging="360"/>
      </w:pPr>
      <w:rPr>
        <w:rFonts w:ascii="Wingdings" w:hAnsi="Wingdings" w:hint="default"/>
      </w:rPr>
    </w:lvl>
    <w:lvl w:ilvl="3" w:tplc="54801536" w:tentative="1">
      <w:start w:val="1"/>
      <w:numFmt w:val="bullet"/>
      <w:lvlText w:val=""/>
      <w:lvlJc w:val="left"/>
      <w:pPr>
        <w:ind w:left="2880" w:hanging="360"/>
      </w:pPr>
      <w:rPr>
        <w:rFonts w:ascii="Symbol" w:hAnsi="Symbol" w:hint="default"/>
      </w:rPr>
    </w:lvl>
    <w:lvl w:ilvl="4" w:tplc="2F7E757A" w:tentative="1">
      <w:start w:val="1"/>
      <w:numFmt w:val="bullet"/>
      <w:lvlText w:val="o"/>
      <w:lvlJc w:val="left"/>
      <w:pPr>
        <w:ind w:left="3600" w:hanging="360"/>
      </w:pPr>
      <w:rPr>
        <w:rFonts w:ascii="Courier New" w:hAnsi="Courier New" w:cs="Courier New" w:hint="default"/>
      </w:rPr>
    </w:lvl>
    <w:lvl w:ilvl="5" w:tplc="2C1A6A46" w:tentative="1">
      <w:start w:val="1"/>
      <w:numFmt w:val="bullet"/>
      <w:lvlText w:val=""/>
      <w:lvlJc w:val="left"/>
      <w:pPr>
        <w:ind w:left="4320" w:hanging="360"/>
      </w:pPr>
      <w:rPr>
        <w:rFonts w:ascii="Wingdings" w:hAnsi="Wingdings" w:hint="default"/>
      </w:rPr>
    </w:lvl>
    <w:lvl w:ilvl="6" w:tplc="A1AA95A4" w:tentative="1">
      <w:start w:val="1"/>
      <w:numFmt w:val="bullet"/>
      <w:lvlText w:val=""/>
      <w:lvlJc w:val="left"/>
      <w:pPr>
        <w:ind w:left="5040" w:hanging="360"/>
      </w:pPr>
      <w:rPr>
        <w:rFonts w:ascii="Symbol" w:hAnsi="Symbol" w:hint="default"/>
      </w:rPr>
    </w:lvl>
    <w:lvl w:ilvl="7" w:tplc="4154BF1C" w:tentative="1">
      <w:start w:val="1"/>
      <w:numFmt w:val="bullet"/>
      <w:lvlText w:val="o"/>
      <w:lvlJc w:val="left"/>
      <w:pPr>
        <w:ind w:left="5760" w:hanging="360"/>
      </w:pPr>
      <w:rPr>
        <w:rFonts w:ascii="Courier New" w:hAnsi="Courier New" w:cs="Courier New" w:hint="default"/>
      </w:rPr>
    </w:lvl>
    <w:lvl w:ilvl="8" w:tplc="08B0C432"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35"/>
  </w:num>
  <w:num w:numId="4">
    <w:abstractNumId w:val="25"/>
  </w:num>
  <w:num w:numId="5">
    <w:abstractNumId w:val="13"/>
  </w:num>
  <w:num w:numId="6">
    <w:abstractNumId w:val="28"/>
  </w:num>
  <w:num w:numId="7">
    <w:abstractNumId w:val="0"/>
  </w:num>
  <w:num w:numId="8">
    <w:abstractNumId w:val="37"/>
  </w:num>
  <w:num w:numId="9">
    <w:abstractNumId w:val="18"/>
  </w:num>
  <w:num w:numId="10">
    <w:abstractNumId w:val="41"/>
  </w:num>
  <w:num w:numId="11">
    <w:abstractNumId w:val="7"/>
  </w:num>
  <w:num w:numId="12">
    <w:abstractNumId w:val="36"/>
  </w:num>
  <w:num w:numId="13">
    <w:abstractNumId w:val="8"/>
  </w:num>
  <w:num w:numId="14">
    <w:abstractNumId w:val="3"/>
  </w:num>
  <w:num w:numId="15">
    <w:abstractNumId w:val="29"/>
  </w:num>
  <w:num w:numId="16">
    <w:abstractNumId w:val="12"/>
  </w:num>
  <w:num w:numId="17">
    <w:abstractNumId w:val="11"/>
  </w:num>
  <w:num w:numId="18">
    <w:abstractNumId w:val="44"/>
  </w:num>
  <w:num w:numId="19">
    <w:abstractNumId w:val="34"/>
  </w:num>
  <w:num w:numId="20">
    <w:abstractNumId w:val="5"/>
  </w:num>
  <w:num w:numId="21">
    <w:abstractNumId w:val="40"/>
  </w:num>
  <w:num w:numId="22">
    <w:abstractNumId w:val="9"/>
  </w:num>
  <w:num w:numId="23">
    <w:abstractNumId w:val="2"/>
  </w:num>
  <w:num w:numId="24">
    <w:abstractNumId w:val="46"/>
  </w:num>
  <w:num w:numId="25">
    <w:abstractNumId w:val="17"/>
  </w:num>
  <w:num w:numId="26">
    <w:abstractNumId w:val="20"/>
  </w:num>
  <w:num w:numId="27">
    <w:abstractNumId w:val="39"/>
  </w:num>
  <w:num w:numId="28">
    <w:abstractNumId w:val="43"/>
  </w:num>
  <w:num w:numId="29">
    <w:abstractNumId w:val="23"/>
  </w:num>
  <w:num w:numId="30">
    <w:abstractNumId w:val="27"/>
  </w:num>
  <w:num w:numId="31">
    <w:abstractNumId w:val="15"/>
  </w:num>
  <w:num w:numId="32">
    <w:abstractNumId w:val="33"/>
  </w:num>
  <w:num w:numId="33">
    <w:abstractNumId w:val="1"/>
  </w:num>
  <w:num w:numId="34">
    <w:abstractNumId w:val="19"/>
  </w:num>
  <w:num w:numId="35">
    <w:abstractNumId w:val="16"/>
  </w:num>
  <w:num w:numId="36">
    <w:abstractNumId w:val="14"/>
  </w:num>
  <w:num w:numId="37">
    <w:abstractNumId w:val="38"/>
  </w:num>
  <w:num w:numId="38">
    <w:abstractNumId w:val="24"/>
  </w:num>
  <w:num w:numId="39">
    <w:abstractNumId w:val="26"/>
  </w:num>
  <w:num w:numId="40">
    <w:abstractNumId w:val="30"/>
  </w:num>
  <w:num w:numId="41">
    <w:abstractNumId w:val="6"/>
  </w:num>
  <w:num w:numId="4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1"/>
  </w:num>
  <w:num w:numId="45">
    <w:abstractNumId w:val="45"/>
  </w:num>
  <w:num w:numId="46">
    <w:abstractNumId w:val="42"/>
  </w:num>
  <w:num w:numId="47">
    <w:abstractNumId w:val="22"/>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characterSpacingControl w:val="doNotCompress"/>
  <w:hdrShapeDefaults>
    <o:shapedefaults v:ext="edit" spidmax="10242"/>
    <o:shapelayout v:ext="edit">
      <o:idmap v:ext="edit" data="7"/>
    </o:shapelayout>
  </w:hdrShapeDefaults>
  <w:footnotePr>
    <w:footnote w:id="-1"/>
    <w:footnote w:id="0"/>
  </w:footnotePr>
  <w:endnotePr>
    <w:endnote w:id="-1"/>
    <w:endnote w:id="0"/>
  </w:endnotePr>
  <w:compat/>
  <w:rsids>
    <w:rsidRoot w:val="009248F4"/>
    <w:rsid w:val="00025495"/>
    <w:rsid w:val="00050A6D"/>
    <w:rsid w:val="00050AF2"/>
    <w:rsid w:val="00060D31"/>
    <w:rsid w:val="0007040B"/>
    <w:rsid w:val="000752C4"/>
    <w:rsid w:val="00075FE3"/>
    <w:rsid w:val="00077D69"/>
    <w:rsid w:val="000A206E"/>
    <w:rsid w:val="000B0E41"/>
    <w:rsid w:val="000C187A"/>
    <w:rsid w:val="000C19B4"/>
    <w:rsid w:val="000D0C98"/>
    <w:rsid w:val="000F3599"/>
    <w:rsid w:val="000F4F69"/>
    <w:rsid w:val="0010779F"/>
    <w:rsid w:val="00111167"/>
    <w:rsid w:val="00136675"/>
    <w:rsid w:val="00137E5F"/>
    <w:rsid w:val="00156044"/>
    <w:rsid w:val="001B45EC"/>
    <w:rsid w:val="001C11F4"/>
    <w:rsid w:val="001C6A86"/>
    <w:rsid w:val="001D38EC"/>
    <w:rsid w:val="0021098F"/>
    <w:rsid w:val="0021277B"/>
    <w:rsid w:val="002279AB"/>
    <w:rsid w:val="0023153B"/>
    <w:rsid w:val="002454D1"/>
    <w:rsid w:val="00247D94"/>
    <w:rsid w:val="00254857"/>
    <w:rsid w:val="00256F04"/>
    <w:rsid w:val="00260588"/>
    <w:rsid w:val="0029592C"/>
    <w:rsid w:val="002A0BEE"/>
    <w:rsid w:val="002A74CF"/>
    <w:rsid w:val="002B5EE3"/>
    <w:rsid w:val="002C4B0F"/>
    <w:rsid w:val="002E447F"/>
    <w:rsid w:val="002F51B5"/>
    <w:rsid w:val="0030688C"/>
    <w:rsid w:val="00317842"/>
    <w:rsid w:val="00323C5C"/>
    <w:rsid w:val="00347B57"/>
    <w:rsid w:val="00376A69"/>
    <w:rsid w:val="00376D30"/>
    <w:rsid w:val="003864FE"/>
    <w:rsid w:val="00392D99"/>
    <w:rsid w:val="0039461C"/>
    <w:rsid w:val="003B5368"/>
    <w:rsid w:val="003C2C76"/>
    <w:rsid w:val="003D3C39"/>
    <w:rsid w:val="003D4E9A"/>
    <w:rsid w:val="003F7D68"/>
    <w:rsid w:val="00415A30"/>
    <w:rsid w:val="00416E7F"/>
    <w:rsid w:val="0041761A"/>
    <w:rsid w:val="004223FC"/>
    <w:rsid w:val="00430708"/>
    <w:rsid w:val="00430F8D"/>
    <w:rsid w:val="00437D46"/>
    <w:rsid w:val="0046570D"/>
    <w:rsid w:val="004702BB"/>
    <w:rsid w:val="00483399"/>
    <w:rsid w:val="004D225F"/>
    <w:rsid w:val="004E21F4"/>
    <w:rsid w:val="00510626"/>
    <w:rsid w:val="00516A02"/>
    <w:rsid w:val="00525789"/>
    <w:rsid w:val="005455D5"/>
    <w:rsid w:val="00547548"/>
    <w:rsid w:val="0055031D"/>
    <w:rsid w:val="00574678"/>
    <w:rsid w:val="00574D84"/>
    <w:rsid w:val="00581937"/>
    <w:rsid w:val="00581AED"/>
    <w:rsid w:val="00584600"/>
    <w:rsid w:val="005A053F"/>
    <w:rsid w:val="005A1BE5"/>
    <w:rsid w:val="005E0617"/>
    <w:rsid w:val="005E0824"/>
    <w:rsid w:val="005E142E"/>
    <w:rsid w:val="005F5142"/>
    <w:rsid w:val="005F774A"/>
    <w:rsid w:val="0061635D"/>
    <w:rsid w:val="00620BA1"/>
    <w:rsid w:val="00695AB6"/>
    <w:rsid w:val="006B3E43"/>
    <w:rsid w:val="006D21B7"/>
    <w:rsid w:val="006F3C68"/>
    <w:rsid w:val="00703EA3"/>
    <w:rsid w:val="00705070"/>
    <w:rsid w:val="007243B0"/>
    <w:rsid w:val="00732426"/>
    <w:rsid w:val="007519C5"/>
    <w:rsid w:val="00752303"/>
    <w:rsid w:val="0075460C"/>
    <w:rsid w:val="00776ECD"/>
    <w:rsid w:val="00793424"/>
    <w:rsid w:val="00796640"/>
    <w:rsid w:val="007A54F3"/>
    <w:rsid w:val="007F28E5"/>
    <w:rsid w:val="007F3B66"/>
    <w:rsid w:val="007F728E"/>
    <w:rsid w:val="0080508D"/>
    <w:rsid w:val="00810C41"/>
    <w:rsid w:val="00813B64"/>
    <w:rsid w:val="0083345D"/>
    <w:rsid w:val="00842DAB"/>
    <w:rsid w:val="00850516"/>
    <w:rsid w:val="008A0F6E"/>
    <w:rsid w:val="008B7E4F"/>
    <w:rsid w:val="008C1E22"/>
    <w:rsid w:val="008D1EA1"/>
    <w:rsid w:val="008E0D33"/>
    <w:rsid w:val="009122BF"/>
    <w:rsid w:val="00914A63"/>
    <w:rsid w:val="00915412"/>
    <w:rsid w:val="009248F4"/>
    <w:rsid w:val="00940407"/>
    <w:rsid w:val="0094402C"/>
    <w:rsid w:val="00955735"/>
    <w:rsid w:val="00957AD0"/>
    <w:rsid w:val="00972709"/>
    <w:rsid w:val="009729F8"/>
    <w:rsid w:val="00985F02"/>
    <w:rsid w:val="009862ED"/>
    <w:rsid w:val="00997545"/>
    <w:rsid w:val="009B19E4"/>
    <w:rsid w:val="009B6297"/>
    <w:rsid w:val="009E1AA2"/>
    <w:rsid w:val="009F3173"/>
    <w:rsid w:val="00A16FDD"/>
    <w:rsid w:val="00A33934"/>
    <w:rsid w:val="00A37E81"/>
    <w:rsid w:val="00A40E54"/>
    <w:rsid w:val="00A50B2C"/>
    <w:rsid w:val="00A746C1"/>
    <w:rsid w:val="00A81CFF"/>
    <w:rsid w:val="00A8408C"/>
    <w:rsid w:val="00AF2D20"/>
    <w:rsid w:val="00B53EB1"/>
    <w:rsid w:val="00B54BFD"/>
    <w:rsid w:val="00B56A07"/>
    <w:rsid w:val="00B63CED"/>
    <w:rsid w:val="00B67A6B"/>
    <w:rsid w:val="00B84709"/>
    <w:rsid w:val="00B84FD2"/>
    <w:rsid w:val="00BC3B54"/>
    <w:rsid w:val="00C0190A"/>
    <w:rsid w:val="00C13077"/>
    <w:rsid w:val="00C16CF4"/>
    <w:rsid w:val="00C23115"/>
    <w:rsid w:val="00C27FD6"/>
    <w:rsid w:val="00C34F5C"/>
    <w:rsid w:val="00C44D89"/>
    <w:rsid w:val="00C508BE"/>
    <w:rsid w:val="00C538A0"/>
    <w:rsid w:val="00C6529F"/>
    <w:rsid w:val="00C66399"/>
    <w:rsid w:val="00C74F69"/>
    <w:rsid w:val="00C9308D"/>
    <w:rsid w:val="00CC08D2"/>
    <w:rsid w:val="00CE07D7"/>
    <w:rsid w:val="00CF1114"/>
    <w:rsid w:val="00D14891"/>
    <w:rsid w:val="00D27D45"/>
    <w:rsid w:val="00D40104"/>
    <w:rsid w:val="00D41E39"/>
    <w:rsid w:val="00D51ABC"/>
    <w:rsid w:val="00D83516"/>
    <w:rsid w:val="00D91CED"/>
    <w:rsid w:val="00D93553"/>
    <w:rsid w:val="00D9663B"/>
    <w:rsid w:val="00DB6099"/>
    <w:rsid w:val="00DC3190"/>
    <w:rsid w:val="00DE06F0"/>
    <w:rsid w:val="00DF0540"/>
    <w:rsid w:val="00DF441D"/>
    <w:rsid w:val="00DF7E27"/>
    <w:rsid w:val="00E063F8"/>
    <w:rsid w:val="00E62DA3"/>
    <w:rsid w:val="00ED5293"/>
    <w:rsid w:val="00F102A8"/>
    <w:rsid w:val="00F36C37"/>
    <w:rsid w:val="00F71400"/>
    <w:rsid w:val="00F86E93"/>
    <w:rsid w:val="00F92C2D"/>
    <w:rsid w:val="00FB1243"/>
    <w:rsid w:val="00FB5C1C"/>
    <w:rsid w:val="00FC6D73"/>
    <w:rsid w:val="00FF6B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F4"/>
    <w:rPr>
      <w:rFonts w:ascii="Cambria" w:eastAsiaTheme="minorEastAsia" w:hAnsi="Cambria"/>
      <w:sz w:val="24"/>
    </w:rPr>
  </w:style>
  <w:style w:type="paragraph" w:styleId="Heading1">
    <w:name w:val="heading 1"/>
    <w:basedOn w:val="Normal"/>
    <w:next w:val="Normal"/>
    <w:link w:val="Heading1Char"/>
    <w:uiPriority w:val="9"/>
    <w:qFormat/>
    <w:rsid w:val="009248F4"/>
    <w:pPr>
      <w:keepNext/>
      <w:keepLines/>
      <w:numPr>
        <w:numId w:val="12"/>
      </w:numPr>
      <w:spacing w:before="480" w:after="0"/>
      <w:ind w:left="882"/>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9248F4"/>
    <w:pPr>
      <w:keepNext/>
      <w:keepLines/>
      <w:numPr>
        <w:ilvl w:val="1"/>
        <w:numId w:val="12"/>
      </w:numPr>
      <w:spacing w:before="200" w:after="0"/>
      <w:outlineLvl w:val="1"/>
    </w:pPr>
    <w:rPr>
      <w:rFonts w:asciiTheme="majorHAnsi" w:eastAsiaTheme="majorEastAsia" w:hAnsiTheme="majorHAnsi" w:cstheme="majorBidi"/>
      <w:b/>
      <w:bCs/>
      <w:color w:val="000000" w:themeColor="text1"/>
      <w:szCs w:val="26"/>
    </w:rPr>
  </w:style>
  <w:style w:type="paragraph" w:styleId="Heading3">
    <w:name w:val="heading 3"/>
    <w:basedOn w:val="Normal"/>
    <w:next w:val="Normal"/>
    <w:link w:val="Heading3Char"/>
    <w:uiPriority w:val="9"/>
    <w:unhideWhenUsed/>
    <w:qFormat/>
    <w:rsid w:val="009248F4"/>
    <w:pPr>
      <w:keepNext/>
      <w:keepLines/>
      <w:numPr>
        <w:ilvl w:val="2"/>
        <w:numId w:val="12"/>
      </w:numPr>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9248F4"/>
    <w:pPr>
      <w:keepNext/>
      <w:keepLines/>
      <w:numPr>
        <w:ilvl w:val="3"/>
        <w:numId w:val="12"/>
      </w:numPr>
      <w:spacing w:before="200" w:after="0"/>
      <w:outlineLvl w:val="3"/>
    </w:pPr>
    <w:rPr>
      <w:rFonts w:asciiTheme="majorHAnsi" w:eastAsiaTheme="majorEastAsia" w:hAnsiTheme="majorHAnsi" w:cstheme="majorBidi"/>
      <w:b/>
      <w:bCs/>
      <w:iCs/>
      <w:color w:val="000000" w:themeColor="text1"/>
    </w:rPr>
  </w:style>
  <w:style w:type="paragraph" w:styleId="Heading5">
    <w:name w:val="heading 5"/>
    <w:basedOn w:val="Normal"/>
    <w:next w:val="Normal"/>
    <w:link w:val="Heading5Char"/>
    <w:uiPriority w:val="9"/>
    <w:unhideWhenUsed/>
    <w:qFormat/>
    <w:rsid w:val="009248F4"/>
    <w:pPr>
      <w:keepNext/>
      <w:keepLines/>
      <w:numPr>
        <w:ilvl w:val="4"/>
        <w:numId w:val="12"/>
      </w:numPr>
      <w:spacing w:before="200" w:after="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unhideWhenUsed/>
    <w:qFormat/>
    <w:rsid w:val="009248F4"/>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248F4"/>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248F4"/>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248F4"/>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8F4"/>
    <w:rPr>
      <w:rFonts w:ascii="Cambria" w:eastAsiaTheme="majorEastAsia" w:hAnsi="Cambria" w:cstheme="majorBidi"/>
      <w:b/>
      <w:bCs/>
      <w:sz w:val="28"/>
      <w:szCs w:val="28"/>
    </w:rPr>
  </w:style>
  <w:style w:type="character" w:customStyle="1" w:styleId="Heading2Char">
    <w:name w:val="Heading 2 Char"/>
    <w:basedOn w:val="DefaultParagraphFont"/>
    <w:link w:val="Heading2"/>
    <w:uiPriority w:val="9"/>
    <w:rsid w:val="009248F4"/>
    <w:rPr>
      <w:rFonts w:asciiTheme="majorHAnsi" w:eastAsiaTheme="majorEastAsia" w:hAnsiTheme="majorHAnsi" w:cstheme="majorBidi"/>
      <w:b/>
      <w:bCs/>
      <w:color w:val="000000" w:themeColor="text1"/>
      <w:sz w:val="24"/>
      <w:szCs w:val="26"/>
    </w:rPr>
  </w:style>
  <w:style w:type="character" w:customStyle="1" w:styleId="Heading3Char">
    <w:name w:val="Heading 3 Char"/>
    <w:basedOn w:val="DefaultParagraphFont"/>
    <w:link w:val="Heading3"/>
    <w:uiPriority w:val="9"/>
    <w:rsid w:val="009248F4"/>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rsid w:val="009248F4"/>
    <w:rPr>
      <w:rFonts w:asciiTheme="majorHAnsi" w:eastAsiaTheme="majorEastAsia" w:hAnsiTheme="majorHAnsi" w:cstheme="majorBidi"/>
      <w:b/>
      <w:bCs/>
      <w:iCs/>
      <w:color w:val="000000" w:themeColor="text1"/>
      <w:sz w:val="24"/>
    </w:rPr>
  </w:style>
  <w:style w:type="character" w:customStyle="1" w:styleId="Heading5Char">
    <w:name w:val="Heading 5 Char"/>
    <w:basedOn w:val="DefaultParagraphFont"/>
    <w:link w:val="Heading5"/>
    <w:uiPriority w:val="9"/>
    <w:rsid w:val="009248F4"/>
    <w:rPr>
      <w:rFonts w:asciiTheme="majorHAnsi" w:eastAsiaTheme="majorEastAsia" w:hAnsiTheme="majorHAnsi" w:cstheme="majorBidi"/>
      <w:b/>
      <w:sz w:val="24"/>
    </w:rPr>
  </w:style>
  <w:style w:type="character" w:customStyle="1" w:styleId="Heading6Char">
    <w:name w:val="Heading 6 Char"/>
    <w:basedOn w:val="DefaultParagraphFont"/>
    <w:link w:val="Heading6"/>
    <w:uiPriority w:val="9"/>
    <w:rsid w:val="009248F4"/>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9248F4"/>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rsid w:val="009248F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248F4"/>
    <w:rPr>
      <w:rFonts w:asciiTheme="majorHAnsi" w:eastAsiaTheme="majorEastAsia" w:hAnsiTheme="majorHAnsi" w:cstheme="majorBidi"/>
      <w:i/>
      <w:iCs/>
      <w:color w:val="404040" w:themeColor="text1" w:themeTint="BF"/>
      <w:sz w:val="20"/>
      <w:szCs w:val="20"/>
    </w:rPr>
  </w:style>
  <w:style w:type="paragraph" w:customStyle="1" w:styleId="Default">
    <w:name w:val="Default"/>
    <w:rsid w:val="009248F4"/>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styleId="Title">
    <w:name w:val="Title"/>
    <w:basedOn w:val="Normal"/>
    <w:next w:val="Normal"/>
    <w:link w:val="TitleChar"/>
    <w:qFormat/>
    <w:rsid w:val="009248F4"/>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val="sl-SI" w:eastAsia="nb-NO"/>
    </w:rPr>
  </w:style>
  <w:style w:type="character" w:customStyle="1" w:styleId="TitleChar">
    <w:name w:val="Title Char"/>
    <w:basedOn w:val="DefaultParagraphFont"/>
    <w:link w:val="Title"/>
    <w:rsid w:val="009248F4"/>
    <w:rPr>
      <w:rFonts w:asciiTheme="majorHAnsi" w:eastAsiaTheme="majorEastAsia" w:hAnsiTheme="majorHAnsi" w:cstheme="majorBidi"/>
      <w:color w:val="17365D" w:themeColor="text2" w:themeShade="BF"/>
      <w:spacing w:val="5"/>
      <w:kern w:val="28"/>
      <w:sz w:val="52"/>
      <w:szCs w:val="52"/>
      <w:lang w:val="sl-SI" w:eastAsia="nb-NO"/>
    </w:rPr>
  </w:style>
  <w:style w:type="paragraph" w:styleId="BalloonText">
    <w:name w:val="Balloon Text"/>
    <w:basedOn w:val="Normal"/>
    <w:link w:val="BalloonTextChar"/>
    <w:uiPriority w:val="99"/>
    <w:semiHidden/>
    <w:unhideWhenUsed/>
    <w:rsid w:val="00924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8F4"/>
    <w:rPr>
      <w:rFonts w:ascii="Tahoma" w:eastAsiaTheme="minorEastAsia" w:hAnsi="Tahoma" w:cs="Tahoma"/>
      <w:sz w:val="16"/>
      <w:szCs w:val="16"/>
    </w:rPr>
  </w:style>
  <w:style w:type="paragraph" w:styleId="Header">
    <w:name w:val="header"/>
    <w:basedOn w:val="Normal"/>
    <w:link w:val="HeaderChar"/>
    <w:unhideWhenUsed/>
    <w:rsid w:val="009248F4"/>
    <w:pPr>
      <w:tabs>
        <w:tab w:val="center" w:pos="4680"/>
        <w:tab w:val="right" w:pos="9360"/>
      </w:tabs>
      <w:spacing w:after="0" w:line="240" w:lineRule="auto"/>
    </w:pPr>
  </w:style>
  <w:style w:type="character" w:customStyle="1" w:styleId="HeaderChar">
    <w:name w:val="Header Char"/>
    <w:basedOn w:val="DefaultParagraphFont"/>
    <w:link w:val="Header"/>
    <w:rsid w:val="009248F4"/>
    <w:rPr>
      <w:rFonts w:ascii="Cambria" w:eastAsiaTheme="minorEastAsia" w:hAnsi="Cambria"/>
      <w:sz w:val="24"/>
    </w:rPr>
  </w:style>
  <w:style w:type="paragraph" w:styleId="Footer">
    <w:name w:val="footer"/>
    <w:basedOn w:val="Normal"/>
    <w:link w:val="FooterChar"/>
    <w:uiPriority w:val="99"/>
    <w:unhideWhenUsed/>
    <w:rsid w:val="00924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8F4"/>
    <w:rPr>
      <w:rFonts w:ascii="Cambria" w:eastAsiaTheme="minorEastAsia" w:hAnsi="Cambria"/>
      <w:sz w:val="24"/>
    </w:rPr>
  </w:style>
  <w:style w:type="character" w:styleId="Hyperlink">
    <w:name w:val="Hyperlink"/>
    <w:basedOn w:val="DefaultParagraphFont"/>
    <w:uiPriority w:val="99"/>
    <w:rsid w:val="009248F4"/>
    <w:rPr>
      <w:color w:val="0000FF"/>
      <w:u w:val="single"/>
    </w:rPr>
  </w:style>
  <w:style w:type="paragraph" w:styleId="ListParagraph">
    <w:name w:val="List Paragraph"/>
    <w:basedOn w:val="Normal"/>
    <w:uiPriority w:val="34"/>
    <w:qFormat/>
    <w:rsid w:val="009248F4"/>
    <w:pPr>
      <w:ind w:left="720"/>
      <w:contextualSpacing/>
    </w:pPr>
  </w:style>
  <w:style w:type="paragraph" w:styleId="TOCHeading">
    <w:name w:val="TOC Heading"/>
    <w:basedOn w:val="Heading1"/>
    <w:next w:val="Normal"/>
    <w:uiPriority w:val="39"/>
    <w:semiHidden/>
    <w:unhideWhenUsed/>
    <w:qFormat/>
    <w:rsid w:val="009248F4"/>
    <w:pPr>
      <w:outlineLvl w:val="9"/>
    </w:pPr>
  </w:style>
  <w:style w:type="paragraph" w:customStyle="1" w:styleId="Level1">
    <w:name w:val="Level 1"/>
    <w:basedOn w:val="Normal"/>
    <w:rsid w:val="009248F4"/>
    <w:pPr>
      <w:numPr>
        <w:numId w:val="7"/>
      </w:numPr>
    </w:pPr>
  </w:style>
  <w:style w:type="paragraph" w:customStyle="1" w:styleId="Level2">
    <w:name w:val="Level 2"/>
    <w:basedOn w:val="Normal"/>
    <w:rsid w:val="009248F4"/>
    <w:pPr>
      <w:numPr>
        <w:ilvl w:val="1"/>
        <w:numId w:val="7"/>
      </w:numPr>
    </w:pPr>
  </w:style>
  <w:style w:type="paragraph" w:customStyle="1" w:styleId="Level3">
    <w:name w:val="Level 3"/>
    <w:basedOn w:val="Normal"/>
    <w:rsid w:val="009248F4"/>
    <w:pPr>
      <w:numPr>
        <w:ilvl w:val="2"/>
        <w:numId w:val="7"/>
      </w:numPr>
    </w:pPr>
  </w:style>
  <w:style w:type="paragraph" w:customStyle="1" w:styleId="Level5">
    <w:name w:val="Level 5"/>
    <w:basedOn w:val="Normal"/>
    <w:rsid w:val="009248F4"/>
    <w:pPr>
      <w:numPr>
        <w:ilvl w:val="4"/>
        <w:numId w:val="7"/>
      </w:numPr>
    </w:pPr>
  </w:style>
  <w:style w:type="paragraph" w:customStyle="1" w:styleId="Level6">
    <w:name w:val="Level 6"/>
    <w:basedOn w:val="Normal"/>
    <w:rsid w:val="009248F4"/>
    <w:pPr>
      <w:numPr>
        <w:ilvl w:val="5"/>
        <w:numId w:val="7"/>
      </w:numPr>
    </w:pPr>
  </w:style>
  <w:style w:type="paragraph" w:customStyle="1" w:styleId="Level7">
    <w:name w:val="Level 7"/>
    <w:basedOn w:val="Normal"/>
    <w:rsid w:val="009248F4"/>
    <w:pPr>
      <w:numPr>
        <w:ilvl w:val="6"/>
        <w:numId w:val="7"/>
      </w:numPr>
    </w:pPr>
  </w:style>
  <w:style w:type="paragraph" w:customStyle="1" w:styleId="Level8">
    <w:name w:val="Level 8"/>
    <w:basedOn w:val="Normal"/>
    <w:rsid w:val="009248F4"/>
    <w:pPr>
      <w:numPr>
        <w:ilvl w:val="7"/>
        <w:numId w:val="7"/>
      </w:numPr>
    </w:pPr>
  </w:style>
  <w:style w:type="paragraph" w:customStyle="1" w:styleId="Level9">
    <w:name w:val="Level 9"/>
    <w:basedOn w:val="Normal"/>
    <w:rsid w:val="009248F4"/>
    <w:pPr>
      <w:numPr>
        <w:ilvl w:val="8"/>
        <w:numId w:val="7"/>
      </w:numPr>
    </w:pPr>
  </w:style>
  <w:style w:type="paragraph" w:styleId="TOC1">
    <w:name w:val="toc 1"/>
    <w:basedOn w:val="Normal"/>
    <w:next w:val="Normal"/>
    <w:autoRedefine/>
    <w:uiPriority w:val="39"/>
    <w:unhideWhenUsed/>
    <w:qFormat/>
    <w:rsid w:val="000D0C98"/>
    <w:pPr>
      <w:tabs>
        <w:tab w:val="left" w:pos="540"/>
        <w:tab w:val="right" w:leader="dot" w:pos="9350"/>
      </w:tabs>
      <w:spacing w:after="100"/>
      <w:ind w:left="270" w:hanging="180"/>
      <w:jc w:val="center"/>
    </w:pPr>
    <w:rPr>
      <w:rFonts w:asciiTheme="majorHAnsi" w:hAnsiTheme="majorHAnsi"/>
      <w:szCs w:val="24"/>
    </w:rPr>
  </w:style>
  <w:style w:type="paragraph" w:styleId="FootnoteText">
    <w:name w:val="footnote text"/>
    <w:basedOn w:val="Normal"/>
    <w:link w:val="FootnoteTextChar"/>
    <w:uiPriority w:val="99"/>
    <w:semiHidden/>
    <w:unhideWhenUsed/>
    <w:rsid w:val="009248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48F4"/>
    <w:rPr>
      <w:rFonts w:ascii="Cambria" w:eastAsiaTheme="minorEastAsia" w:hAnsi="Cambria"/>
      <w:sz w:val="20"/>
      <w:szCs w:val="20"/>
    </w:rPr>
  </w:style>
  <w:style w:type="character" w:styleId="FootnoteReference">
    <w:name w:val="footnote reference"/>
    <w:basedOn w:val="DefaultParagraphFont"/>
    <w:uiPriority w:val="99"/>
    <w:semiHidden/>
    <w:unhideWhenUsed/>
    <w:rsid w:val="009248F4"/>
    <w:rPr>
      <w:vertAlign w:val="superscript"/>
    </w:rPr>
  </w:style>
  <w:style w:type="paragraph" w:styleId="TOC3">
    <w:name w:val="toc 3"/>
    <w:basedOn w:val="Normal"/>
    <w:next w:val="Normal"/>
    <w:autoRedefine/>
    <w:uiPriority w:val="39"/>
    <w:unhideWhenUsed/>
    <w:qFormat/>
    <w:rsid w:val="009248F4"/>
    <w:pPr>
      <w:spacing w:after="100"/>
      <w:ind w:left="440"/>
    </w:pPr>
  </w:style>
  <w:style w:type="paragraph" w:styleId="TOC2">
    <w:name w:val="toc 2"/>
    <w:basedOn w:val="Normal"/>
    <w:next w:val="Normal"/>
    <w:autoRedefine/>
    <w:uiPriority w:val="39"/>
    <w:unhideWhenUsed/>
    <w:qFormat/>
    <w:rsid w:val="00A37E81"/>
    <w:pPr>
      <w:tabs>
        <w:tab w:val="left" w:pos="880"/>
        <w:tab w:val="right" w:leader="dot" w:pos="9350"/>
      </w:tabs>
      <w:spacing w:after="100"/>
      <w:ind w:left="900" w:hanging="400"/>
    </w:pPr>
  </w:style>
  <w:style w:type="table" w:styleId="TableGrid">
    <w:name w:val="Table Grid"/>
    <w:basedOn w:val="TableNormal"/>
    <w:uiPriority w:val="59"/>
    <w:rsid w:val="009248F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Char">
    <w:name w:val="Body Text 2 Char"/>
    <w:basedOn w:val="DefaultParagraphFont"/>
    <w:link w:val="BodyText2"/>
    <w:semiHidden/>
    <w:rsid w:val="00957AD0"/>
    <w:rPr>
      <w:rFonts w:ascii="Times New Roman" w:eastAsia="Times New Roman" w:hAnsi="Times New Roman" w:cs="Times New Roman"/>
      <w:sz w:val="24"/>
      <w:szCs w:val="24"/>
      <w:lang w:val="en-GB"/>
    </w:rPr>
  </w:style>
  <w:style w:type="paragraph" w:styleId="BodyText2">
    <w:name w:val="Body Text 2"/>
    <w:basedOn w:val="Normal"/>
    <w:link w:val="BodyText2Char"/>
    <w:semiHidden/>
    <w:unhideWhenUsed/>
    <w:rsid w:val="00957AD0"/>
    <w:pPr>
      <w:spacing w:after="0" w:line="240" w:lineRule="auto"/>
      <w:jc w:val="both"/>
    </w:pPr>
    <w:rPr>
      <w:rFonts w:ascii="Times New Roman" w:eastAsia="Times New Roman" w:hAnsi="Times New Roman" w:cs="Times New Roman"/>
      <w:szCs w:val="24"/>
      <w:lang w:val="en-GB"/>
    </w:rPr>
  </w:style>
  <w:style w:type="character" w:styleId="CommentReference">
    <w:name w:val="annotation reference"/>
    <w:basedOn w:val="DefaultParagraphFont"/>
    <w:uiPriority w:val="99"/>
    <w:semiHidden/>
    <w:unhideWhenUsed/>
    <w:rsid w:val="00B54BFD"/>
    <w:rPr>
      <w:sz w:val="16"/>
      <w:szCs w:val="16"/>
    </w:rPr>
  </w:style>
  <w:style w:type="paragraph" w:styleId="CommentText">
    <w:name w:val="annotation text"/>
    <w:basedOn w:val="Normal"/>
    <w:link w:val="CommentTextChar"/>
    <w:uiPriority w:val="99"/>
    <w:semiHidden/>
    <w:unhideWhenUsed/>
    <w:rsid w:val="00B54BFD"/>
    <w:pPr>
      <w:spacing w:line="240" w:lineRule="auto"/>
    </w:pPr>
    <w:rPr>
      <w:sz w:val="20"/>
      <w:szCs w:val="20"/>
    </w:rPr>
  </w:style>
  <w:style w:type="character" w:customStyle="1" w:styleId="CommentTextChar">
    <w:name w:val="Comment Text Char"/>
    <w:basedOn w:val="DefaultParagraphFont"/>
    <w:link w:val="CommentText"/>
    <w:uiPriority w:val="99"/>
    <w:semiHidden/>
    <w:rsid w:val="00B54BFD"/>
    <w:rPr>
      <w:rFonts w:ascii="Cambria" w:eastAsiaTheme="minorEastAsia" w:hAnsi="Cambria"/>
      <w:sz w:val="20"/>
      <w:szCs w:val="20"/>
    </w:rPr>
  </w:style>
  <w:style w:type="paragraph" w:styleId="CommentSubject">
    <w:name w:val="annotation subject"/>
    <w:basedOn w:val="CommentText"/>
    <w:next w:val="CommentText"/>
    <w:link w:val="CommentSubjectChar"/>
    <w:uiPriority w:val="99"/>
    <w:semiHidden/>
    <w:unhideWhenUsed/>
    <w:rsid w:val="00B54BFD"/>
    <w:rPr>
      <w:b/>
      <w:bCs/>
    </w:rPr>
  </w:style>
  <w:style w:type="character" w:customStyle="1" w:styleId="CommentSubjectChar">
    <w:name w:val="Comment Subject Char"/>
    <w:basedOn w:val="CommentTextChar"/>
    <w:link w:val="CommentSubject"/>
    <w:uiPriority w:val="99"/>
    <w:semiHidden/>
    <w:rsid w:val="00B54BFD"/>
    <w:rPr>
      <w:b/>
      <w:bCs/>
    </w:rPr>
  </w:style>
  <w:style w:type="table" w:customStyle="1" w:styleId="LightList1">
    <w:name w:val="Light List1"/>
    <w:basedOn w:val="TableNormal"/>
    <w:uiPriority w:val="61"/>
    <w:rsid w:val="0039461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97A91-2B47-410D-96EC-DB0A9AD49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43</Pages>
  <Words>11950</Words>
  <Characters>68118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ljiljana.maksimovic</cp:lastModifiedBy>
  <cp:revision>2</cp:revision>
  <cp:lastPrinted>2015-11-17T15:23:00Z</cp:lastPrinted>
  <dcterms:created xsi:type="dcterms:W3CDTF">2015-11-24T09:43:00Z</dcterms:created>
  <dcterms:modified xsi:type="dcterms:W3CDTF">2015-11-24T09:43:00Z</dcterms:modified>
</cp:coreProperties>
</file>